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63DC8" w14:textId="77777777" w:rsidR="004B7E0E" w:rsidRDefault="004B7E0E" w:rsidP="00C51C82"/>
    <w:p w14:paraId="174F28C8" w14:textId="77777777" w:rsidR="00195C0D" w:rsidRDefault="00195C0D" w:rsidP="00D809AA">
      <w:pPr>
        <w:pStyle w:val="Heading1"/>
        <w:rPr>
          <w:rFonts w:ascii="Arial" w:hAnsi="Arial" w:cs="Arial"/>
          <w:b/>
          <w:color w:val="auto"/>
        </w:rPr>
      </w:pPr>
      <w:bookmarkStart w:id="0" w:name="_Pupil_premium_report"/>
      <w:bookmarkEnd w:id="0"/>
    </w:p>
    <w:p w14:paraId="67F3698D" w14:textId="77777777" w:rsidR="00195C0D" w:rsidRDefault="00195C0D" w:rsidP="00D809AA">
      <w:pPr>
        <w:pStyle w:val="Heading1"/>
        <w:rPr>
          <w:rFonts w:ascii="Arial" w:hAnsi="Arial" w:cs="Arial"/>
          <w:b/>
          <w:color w:val="auto"/>
        </w:rPr>
      </w:pPr>
    </w:p>
    <w:p w14:paraId="49C7C4B9" w14:textId="52DC4943" w:rsidR="00D809AA" w:rsidRPr="000F4480" w:rsidRDefault="000D798B" w:rsidP="00D809AA">
      <w:pPr>
        <w:pStyle w:val="Heading1"/>
        <w:rPr>
          <w:rFonts w:ascii="Arial" w:hAnsi="Arial" w:cs="Arial"/>
          <w:b/>
          <w:color w:val="auto"/>
        </w:rPr>
      </w:pPr>
      <w:r w:rsidRPr="000F4480">
        <w:rPr>
          <w:rFonts w:ascii="Arial" w:hAnsi="Arial" w:cs="Arial"/>
          <w:b/>
          <w:color w:val="auto"/>
        </w:rPr>
        <w:t>Coronavirus (COVID-19): catch-up funding plan</w:t>
      </w:r>
    </w:p>
    <w:p w14:paraId="7735AF5C" w14:textId="77777777" w:rsidR="0035665F" w:rsidRPr="00AE1BC4" w:rsidRDefault="0035665F" w:rsidP="00AE1BC4">
      <w:pPr>
        <w:spacing w:after="0"/>
        <w:jc w:val="both"/>
        <w:rPr>
          <w:rFonts w:ascii="Arial" w:hAnsi="Arial" w:cs="Arial"/>
        </w:rPr>
      </w:pPr>
    </w:p>
    <w:p w14:paraId="70ECAA28" w14:textId="1AFF9CA1" w:rsidR="00615243" w:rsidRDefault="0000090C" w:rsidP="00AE1BC4">
      <w:pPr>
        <w:jc w:val="both"/>
        <w:rPr>
          <w:rFonts w:ascii="Arial" w:hAnsi="Arial" w:cs="Arial"/>
        </w:rPr>
      </w:pPr>
      <w:r w:rsidRPr="00A7588B">
        <w:rPr>
          <w:rFonts w:ascii="Arial" w:hAnsi="Arial" w:cs="Arial"/>
        </w:rPr>
        <w:t xml:space="preserve">The government is providing schools with £650 million of universal catch-up premium funding for the 2020/2021 academic year. The aim of the funding is to help pupils catch up on education they have missed due to the coronavirus (COVID-19) pandemic. Schools should use this funding for specific activities to support their pupils to </w:t>
      </w:r>
      <w:r w:rsidR="00196A53" w:rsidRPr="00A7588B">
        <w:rPr>
          <w:rFonts w:ascii="Arial" w:hAnsi="Arial" w:cs="Arial"/>
        </w:rPr>
        <w:t xml:space="preserve">make </w:t>
      </w:r>
      <w:r w:rsidRPr="00A7588B">
        <w:rPr>
          <w:rFonts w:ascii="Arial" w:hAnsi="Arial" w:cs="Arial"/>
        </w:rPr>
        <w:t>up for lost teaching over the previous months</w:t>
      </w:r>
      <w:r w:rsidR="008A0C76" w:rsidRPr="00A7588B">
        <w:rPr>
          <w:rFonts w:ascii="Arial" w:hAnsi="Arial" w:cs="Arial"/>
        </w:rPr>
        <w:t>.</w:t>
      </w:r>
      <w:r w:rsidR="008C08A1" w:rsidRPr="00A7588B">
        <w:rPr>
          <w:rFonts w:ascii="Arial" w:hAnsi="Arial" w:cs="Arial"/>
        </w:rPr>
        <w:t xml:space="preserve"> </w:t>
      </w:r>
      <w:r w:rsidR="008C08A1" w:rsidRPr="00A7588B">
        <w:rPr>
          <w:rFonts w:ascii="Arial" w:hAnsi="Arial" w:cs="Arial"/>
          <w:shd w:val="clear" w:color="auto" w:fill="FFFFFF"/>
        </w:rPr>
        <w:t>While funding has been allocated on a per</w:t>
      </w:r>
      <w:r w:rsidR="00B2760E" w:rsidRPr="00A7588B">
        <w:rPr>
          <w:rFonts w:ascii="Arial" w:hAnsi="Arial" w:cs="Arial"/>
          <w:shd w:val="clear" w:color="auto" w:fill="FFFFFF"/>
        </w:rPr>
        <w:t>-</w:t>
      </w:r>
      <w:r w:rsidR="008C08A1" w:rsidRPr="00A7588B">
        <w:rPr>
          <w:rFonts w:ascii="Arial" w:hAnsi="Arial" w:cs="Arial"/>
          <w:shd w:val="clear" w:color="auto" w:fill="FFFFFF"/>
        </w:rPr>
        <w:t>pupil or per</w:t>
      </w:r>
      <w:r w:rsidR="00B2760E" w:rsidRPr="00A7588B">
        <w:rPr>
          <w:rFonts w:ascii="Arial" w:hAnsi="Arial" w:cs="Arial"/>
          <w:shd w:val="clear" w:color="auto" w:fill="FFFFFF"/>
        </w:rPr>
        <w:t>-</w:t>
      </w:r>
      <w:r w:rsidR="008C08A1" w:rsidRPr="00A7588B">
        <w:rPr>
          <w:rFonts w:ascii="Arial" w:hAnsi="Arial" w:cs="Arial"/>
          <w:shd w:val="clear" w:color="auto" w:fill="FFFFFF"/>
        </w:rPr>
        <w:t>place basis, schools should use the amount available to them as a single total from which to prioritise support for pupils according to their needs. Schools do not need to spend the funds in the financial year beginning 1 April 2020, and may carry some or all catch-up premium funds forward to future financial years if they wish.</w:t>
      </w:r>
      <w:r w:rsidR="00AE1BC4" w:rsidRPr="0069102D">
        <w:rPr>
          <w:rFonts w:ascii="Arial" w:hAnsi="Arial" w:cs="Arial"/>
        </w:rPr>
        <w:t xml:space="preserve"> </w:t>
      </w:r>
      <w:r w:rsidR="00AE1BC4" w:rsidRPr="00AE1BC4">
        <w:rPr>
          <w:rFonts w:ascii="Arial" w:hAnsi="Arial" w:cs="Arial"/>
        </w:rPr>
        <w:t>The Education Endowment Foundation</w:t>
      </w:r>
      <w:r w:rsidR="008C08A1">
        <w:rPr>
          <w:rFonts w:ascii="Arial" w:hAnsi="Arial" w:cs="Arial"/>
        </w:rPr>
        <w:t>’s</w:t>
      </w:r>
      <w:r w:rsidR="00EC642C">
        <w:rPr>
          <w:rFonts w:ascii="Arial" w:hAnsi="Arial" w:cs="Arial"/>
        </w:rPr>
        <w:t xml:space="preserve"> </w:t>
      </w:r>
      <w:r w:rsidR="00E568C2">
        <w:rPr>
          <w:rFonts w:ascii="Arial" w:hAnsi="Arial" w:cs="Arial"/>
        </w:rPr>
        <w:t>‘</w:t>
      </w:r>
      <w:hyperlink r:id="rId8" w:history="1">
        <w:r w:rsidR="00E568C2" w:rsidRPr="00E568C2">
          <w:rPr>
            <w:rStyle w:val="Hyperlink"/>
            <w:rFonts w:ascii="Arial" w:hAnsi="Arial" w:cs="Arial"/>
          </w:rPr>
          <w:t xml:space="preserve">School </w:t>
        </w:r>
        <w:r w:rsidR="00E568C2">
          <w:rPr>
            <w:rStyle w:val="Hyperlink"/>
            <w:rFonts w:ascii="Arial" w:hAnsi="Arial" w:cs="Arial"/>
          </w:rPr>
          <w:t>P</w:t>
        </w:r>
        <w:r w:rsidR="00E568C2" w:rsidRPr="00E568C2">
          <w:rPr>
            <w:rStyle w:val="Hyperlink"/>
            <w:rFonts w:ascii="Arial" w:hAnsi="Arial" w:cs="Arial"/>
          </w:rPr>
          <w:t xml:space="preserve">lanning </w:t>
        </w:r>
        <w:r w:rsidR="00E568C2">
          <w:rPr>
            <w:rStyle w:val="Hyperlink"/>
            <w:rFonts w:ascii="Arial" w:hAnsi="Arial" w:cs="Arial"/>
          </w:rPr>
          <w:t>G</w:t>
        </w:r>
        <w:r w:rsidR="00E568C2" w:rsidRPr="00E568C2">
          <w:rPr>
            <w:rStyle w:val="Hyperlink"/>
            <w:rFonts w:ascii="Arial" w:hAnsi="Arial" w:cs="Arial"/>
          </w:rPr>
          <w:t>uide 2020</w:t>
        </w:r>
        <w:r w:rsidR="00E568C2">
          <w:rPr>
            <w:rStyle w:val="Hyperlink"/>
            <w:rFonts w:ascii="Arial" w:hAnsi="Arial" w:cs="Arial"/>
          </w:rPr>
          <w:t>-</w:t>
        </w:r>
        <w:r w:rsidR="00E568C2" w:rsidRPr="00E568C2">
          <w:rPr>
            <w:rStyle w:val="Hyperlink"/>
            <w:rFonts w:ascii="Arial" w:hAnsi="Arial" w:cs="Arial"/>
          </w:rPr>
          <w:t>21</w:t>
        </w:r>
      </w:hyperlink>
      <w:r w:rsidR="00E568C2">
        <w:rPr>
          <w:rFonts w:ascii="Arial" w:hAnsi="Arial" w:cs="Arial"/>
        </w:rPr>
        <w:t>’</w:t>
      </w:r>
      <w:r w:rsidR="00664F7D">
        <w:rPr>
          <w:rFonts w:ascii="Arial" w:hAnsi="Arial" w:cs="Arial"/>
        </w:rPr>
        <w:t>,</w:t>
      </w:r>
      <w:r w:rsidR="00AE1BC4" w:rsidRPr="00AE1BC4">
        <w:rPr>
          <w:rFonts w:ascii="Arial" w:hAnsi="Arial" w:cs="Arial"/>
        </w:rPr>
        <w:t xml:space="preserve"> </w:t>
      </w:r>
      <w:r w:rsidR="008C08A1">
        <w:rPr>
          <w:rFonts w:ascii="Arial" w:hAnsi="Arial" w:cs="Arial"/>
        </w:rPr>
        <w:t>may help</w:t>
      </w:r>
      <w:r w:rsidR="008C08A1" w:rsidRPr="00AE1BC4">
        <w:rPr>
          <w:rFonts w:ascii="Arial" w:hAnsi="Arial" w:cs="Arial"/>
        </w:rPr>
        <w:t xml:space="preserve"> </w:t>
      </w:r>
      <w:r w:rsidR="00AE1BC4" w:rsidRPr="00AE1BC4">
        <w:rPr>
          <w:rFonts w:ascii="Arial" w:hAnsi="Arial" w:cs="Arial"/>
        </w:rPr>
        <w:t xml:space="preserve">schools to </w:t>
      </w:r>
      <w:r w:rsidR="00196A53">
        <w:rPr>
          <w:rFonts w:ascii="Arial" w:hAnsi="Arial" w:cs="Arial"/>
        </w:rPr>
        <w:t>develop</w:t>
      </w:r>
      <w:r w:rsidR="00196A53" w:rsidRPr="00AE1BC4">
        <w:rPr>
          <w:rFonts w:ascii="Arial" w:hAnsi="Arial" w:cs="Arial"/>
        </w:rPr>
        <w:t xml:space="preserve"> </w:t>
      </w:r>
      <w:r w:rsidR="00AE1BC4" w:rsidRPr="00AE1BC4">
        <w:rPr>
          <w:rFonts w:ascii="Arial" w:hAnsi="Arial" w:cs="Arial"/>
        </w:rPr>
        <w:t xml:space="preserve">their plans for the premium. </w:t>
      </w:r>
    </w:p>
    <w:p w14:paraId="33752D00" w14:textId="41D9EA7A" w:rsidR="00615243" w:rsidRDefault="00615243" w:rsidP="00AE1B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Mainstream schools will receive £80 per pupil from reception to Year 11 inclusive, and special, AP and hospital schools will receive £240 for each place. This funding will be received in three instalments, the first in Autumn 2020, the second in early 2021 and the third in the </w:t>
      </w:r>
      <w:r w:rsidR="00211E98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Summer term. School leaders must be able to show that the funding is being used for its intended purposes, and governing boards are advised to scrutinise </w:t>
      </w:r>
      <w:r w:rsidR="00211E98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school’s plans for its use. The use of the funding will also be inspected by Ofsted when it resumes routine inspections. More information surrounding the catch-up premium can be found </w:t>
      </w:r>
      <w:hyperlink r:id="rId9" w:history="1">
        <w:r w:rsidRPr="00615243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65C3194A" w14:textId="27239697" w:rsidR="00E27E58" w:rsidRPr="000C1D1C" w:rsidRDefault="00AE6678" w:rsidP="00AE1BC4">
      <w:pPr>
        <w:jc w:val="both"/>
      </w:pPr>
      <w:r w:rsidRPr="00D809AA">
        <w:br w:type="page"/>
      </w:r>
    </w:p>
    <w:p w14:paraId="784D1A11" w14:textId="56B17FCF" w:rsidR="0089264A" w:rsidRPr="00F42E37" w:rsidRDefault="000D798B" w:rsidP="00C51C82">
      <w:pPr>
        <w:rPr>
          <w:rFonts w:ascii="Arial" w:eastAsiaTheme="minorEastAsia" w:hAnsi="Arial" w:cs="Arial"/>
          <w:b/>
          <w:sz w:val="28"/>
          <w:szCs w:val="20"/>
          <w:lang w:val="en-US" w:eastAsia="ja-JP"/>
        </w:rPr>
      </w:pPr>
      <w:bookmarkStart w:id="1" w:name="PPR"/>
      <w:r w:rsidRPr="00F42E37">
        <w:rPr>
          <w:rFonts w:ascii="Arial" w:eastAsiaTheme="minorEastAsia" w:hAnsi="Arial" w:cs="Arial"/>
          <w:b/>
          <w:sz w:val="28"/>
          <w:szCs w:val="20"/>
          <w:lang w:val="en-US" w:eastAsia="ja-JP"/>
        </w:rPr>
        <w:lastRenderedPageBreak/>
        <w:t>Catch-up</w:t>
      </w:r>
      <w:r w:rsidR="007C4734" w:rsidRPr="00F42E37">
        <w:rPr>
          <w:rFonts w:ascii="Arial" w:eastAsiaTheme="minorEastAsia" w:hAnsi="Arial" w:cs="Arial"/>
          <w:b/>
          <w:sz w:val="28"/>
          <w:szCs w:val="20"/>
          <w:lang w:val="en-US" w:eastAsia="ja-JP"/>
        </w:rPr>
        <w:t xml:space="preserve"> </w:t>
      </w:r>
      <w:r w:rsidRPr="00F42E37">
        <w:rPr>
          <w:rFonts w:ascii="Arial" w:eastAsiaTheme="minorEastAsia" w:hAnsi="Arial" w:cs="Arial"/>
          <w:b/>
          <w:sz w:val="28"/>
          <w:szCs w:val="20"/>
          <w:lang w:val="en-US" w:eastAsia="ja-JP"/>
        </w:rPr>
        <w:t>plan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3539"/>
        <w:gridCol w:w="1276"/>
        <w:gridCol w:w="2268"/>
        <w:gridCol w:w="992"/>
        <w:gridCol w:w="2410"/>
        <w:gridCol w:w="850"/>
        <w:gridCol w:w="2268"/>
        <w:gridCol w:w="1018"/>
      </w:tblGrid>
      <w:tr w:rsidR="008B1C63" w14:paraId="252C81D9" w14:textId="77777777" w:rsidTr="00984119">
        <w:trPr>
          <w:trHeight w:val="440"/>
        </w:trPr>
        <w:tc>
          <w:tcPr>
            <w:tcW w:w="3539" w:type="dxa"/>
            <w:shd w:val="clear" w:color="auto" w:fill="347186"/>
            <w:vAlign w:val="center"/>
          </w:tcPr>
          <w:bookmarkEnd w:id="1"/>
          <w:p w14:paraId="41EBDF01" w14:textId="030075F7" w:rsidR="008B1C63" w:rsidRPr="008B1C63" w:rsidRDefault="008B1C63" w:rsidP="00486910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B1C6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School name</w:t>
            </w:r>
            <w:r w:rsidR="00C047A7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  <w:r w:rsidRPr="008B1C6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 </w:t>
            </w:r>
          </w:p>
        </w:tc>
        <w:tc>
          <w:tcPr>
            <w:tcW w:w="11082" w:type="dxa"/>
            <w:gridSpan w:val="7"/>
            <w:vAlign w:val="center"/>
          </w:tcPr>
          <w:p w14:paraId="10D70D78" w14:textId="140D4658" w:rsidR="008B1C63" w:rsidRPr="008B1C63" w:rsidRDefault="00CC4122" w:rsidP="00486910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lang w:val="en-US" w:eastAsia="ja-JP"/>
              </w:rPr>
              <w:t>Chagford</w:t>
            </w:r>
            <w:proofErr w:type="spellEnd"/>
            <w:r w:rsidR="00FD2E33">
              <w:rPr>
                <w:rFonts w:ascii="Arial" w:eastAsiaTheme="minorEastAsia" w:hAnsi="Arial" w:cs="Arial"/>
                <w:b/>
                <w:lang w:val="en-US" w:eastAsia="ja-JP"/>
              </w:rPr>
              <w:t xml:space="preserve"> C of E</w:t>
            </w:r>
            <w:r w:rsidR="00E75A24">
              <w:rPr>
                <w:rFonts w:ascii="Arial" w:eastAsiaTheme="minorEastAsia" w:hAnsi="Arial" w:cs="Arial"/>
                <w:b/>
                <w:lang w:val="en-US" w:eastAsia="ja-JP"/>
              </w:rPr>
              <w:t xml:space="preserve"> Primary School</w:t>
            </w:r>
          </w:p>
        </w:tc>
      </w:tr>
      <w:tr w:rsidR="000D798B" w14:paraId="4581377A" w14:textId="77777777" w:rsidTr="00984119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2BBEE951" w14:textId="6DD44781" w:rsidR="000D798B" w:rsidRPr="008B1C63" w:rsidRDefault="000D798B" w:rsidP="00486910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 w:rsidRPr="008B1C6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Academic year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11082" w:type="dxa"/>
            <w:gridSpan w:val="7"/>
            <w:vAlign w:val="center"/>
          </w:tcPr>
          <w:p w14:paraId="6313D669" w14:textId="20D7743A" w:rsidR="000D798B" w:rsidRPr="008B1C63" w:rsidRDefault="00195C0D" w:rsidP="00486910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2021 - 2022</w:t>
            </w:r>
          </w:p>
        </w:tc>
      </w:tr>
      <w:tr w:rsidR="000D798B" w14:paraId="33605A66" w14:textId="77777777" w:rsidTr="00984119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16924411" w14:textId="6949B0B7" w:rsidR="000D798B" w:rsidRDefault="000D798B" w:rsidP="00486910">
            <w:pPr>
              <w:spacing w:before="120" w:after="120" w:line="276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number of pupils on roll:</w:t>
            </w:r>
          </w:p>
        </w:tc>
        <w:tc>
          <w:tcPr>
            <w:tcW w:w="11082" w:type="dxa"/>
            <w:gridSpan w:val="7"/>
            <w:vAlign w:val="center"/>
          </w:tcPr>
          <w:p w14:paraId="044A0CFB" w14:textId="6EEF6903" w:rsidR="000D798B" w:rsidRPr="008B1C63" w:rsidRDefault="00102C56" w:rsidP="00486910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146</w:t>
            </w:r>
          </w:p>
        </w:tc>
      </w:tr>
      <w:tr w:rsidR="0069102D" w14:paraId="6935ABAD" w14:textId="77777777" w:rsidTr="0069102D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0C9355C5" w14:textId="6A1D24C1" w:rsidR="0069102D" w:rsidRPr="008B1C63" w:rsidRDefault="0069102D" w:rsidP="00486910">
            <w:pPr>
              <w:spacing w:before="120" w:after="120" w:line="276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8B1C6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Total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catch-up</w:t>
            </w:r>
            <w:r w:rsidRPr="008B1C6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 budget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1276" w:type="dxa"/>
            <w:vAlign w:val="center"/>
          </w:tcPr>
          <w:p w14:paraId="4FC1229F" w14:textId="0A8EC094" w:rsidR="0069102D" w:rsidRPr="008B1C63" w:rsidRDefault="00723B4C" w:rsidP="00CC412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</w:t>
            </w:r>
            <w:r w:rsidR="004A0D18">
              <w:rPr>
                <w:rFonts w:ascii="Arial" w:eastAsiaTheme="minorEastAsia" w:hAnsi="Arial" w:cs="Arial"/>
                <w:b/>
                <w:lang w:val="en-US" w:eastAsia="ja-JP"/>
              </w:rPr>
              <w:t>11,68</w:t>
            </w:r>
            <w:r w:rsidR="00CC4122">
              <w:rPr>
                <w:rFonts w:ascii="Arial" w:eastAsiaTheme="minorEastAsia" w:hAnsi="Arial" w:cs="Arial"/>
                <w:b/>
                <w:lang w:val="en-US" w:eastAsia="ja-JP"/>
              </w:rPr>
              <w:t>0</w:t>
            </w:r>
          </w:p>
        </w:tc>
        <w:tc>
          <w:tcPr>
            <w:tcW w:w="2268" w:type="dxa"/>
            <w:vAlign w:val="center"/>
          </w:tcPr>
          <w:p w14:paraId="0010E5BB" w14:textId="32494423" w:rsidR="0069102D" w:rsidRPr="008B1C63" w:rsidRDefault="0069102D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First installment:</w:t>
            </w:r>
          </w:p>
        </w:tc>
        <w:tc>
          <w:tcPr>
            <w:tcW w:w="992" w:type="dxa"/>
            <w:vAlign w:val="center"/>
          </w:tcPr>
          <w:p w14:paraId="2349E325" w14:textId="70BC19BC" w:rsidR="0069102D" w:rsidRPr="008B1C63" w:rsidRDefault="00723B4C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tbc</w:t>
            </w:r>
          </w:p>
        </w:tc>
        <w:tc>
          <w:tcPr>
            <w:tcW w:w="2410" w:type="dxa"/>
            <w:vAlign w:val="center"/>
          </w:tcPr>
          <w:p w14:paraId="649BBC5C" w14:textId="7DE44959" w:rsidR="0069102D" w:rsidRPr="008B1C63" w:rsidRDefault="0069102D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Second installment:</w:t>
            </w:r>
          </w:p>
        </w:tc>
        <w:tc>
          <w:tcPr>
            <w:tcW w:w="850" w:type="dxa"/>
            <w:vAlign w:val="center"/>
          </w:tcPr>
          <w:p w14:paraId="45960C8F" w14:textId="7CE08FD9" w:rsidR="0069102D" w:rsidRPr="008B1C63" w:rsidRDefault="00723B4C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tbc</w:t>
            </w:r>
          </w:p>
        </w:tc>
        <w:tc>
          <w:tcPr>
            <w:tcW w:w="2268" w:type="dxa"/>
            <w:vAlign w:val="center"/>
          </w:tcPr>
          <w:p w14:paraId="286C9C72" w14:textId="337774D5" w:rsidR="0069102D" w:rsidRPr="008B1C63" w:rsidRDefault="0069102D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Third installment:</w:t>
            </w:r>
          </w:p>
        </w:tc>
        <w:tc>
          <w:tcPr>
            <w:tcW w:w="1018" w:type="dxa"/>
            <w:vAlign w:val="center"/>
          </w:tcPr>
          <w:p w14:paraId="0B4E164D" w14:textId="662C1762" w:rsidR="0069102D" w:rsidRPr="008B1C63" w:rsidRDefault="00723B4C" w:rsidP="00486910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tbc</w:t>
            </w:r>
          </w:p>
        </w:tc>
      </w:tr>
      <w:tr w:rsidR="000D798B" w14:paraId="0AEC4A59" w14:textId="77777777" w:rsidTr="00984119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51198076" w14:textId="3D9AB408" w:rsidR="000D798B" w:rsidRDefault="000D798B" w:rsidP="00486910">
            <w:pPr>
              <w:spacing w:before="120" w:after="120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Date of review:</w:t>
            </w:r>
          </w:p>
        </w:tc>
        <w:tc>
          <w:tcPr>
            <w:tcW w:w="11082" w:type="dxa"/>
            <w:gridSpan w:val="7"/>
            <w:vAlign w:val="center"/>
          </w:tcPr>
          <w:p w14:paraId="5A6206E8" w14:textId="10BDD0D0" w:rsidR="000D798B" w:rsidRPr="008B1C63" w:rsidRDefault="00723B4C" w:rsidP="00486910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April 202</w:t>
            </w:r>
            <w:r w:rsidR="00195C0D">
              <w:rPr>
                <w:rFonts w:ascii="Arial" w:eastAsiaTheme="minorEastAsia" w:hAnsi="Arial" w:cs="Arial"/>
                <w:b/>
                <w:lang w:val="en-US" w:eastAsia="ja-JP"/>
              </w:rPr>
              <w:t>2</w:t>
            </w:r>
          </w:p>
        </w:tc>
      </w:tr>
    </w:tbl>
    <w:p w14:paraId="739C033F" w14:textId="2615DA48" w:rsidR="00E2639F" w:rsidRDefault="00E2639F" w:rsidP="00C51C82">
      <w:pPr>
        <w:rPr>
          <w:rFonts w:ascii="Arial" w:eastAsiaTheme="minorEastAsia" w:hAnsi="Arial" w:cs="Arial"/>
          <w:b/>
          <w:lang w:val="en-US" w:eastAsia="ja-JP"/>
        </w:rPr>
      </w:pPr>
    </w:p>
    <w:p w14:paraId="2F63D147" w14:textId="33E6C8B5" w:rsidR="00405A64" w:rsidRDefault="00405A64" w:rsidP="00C51C82">
      <w:pPr>
        <w:rPr>
          <w:rFonts w:ascii="Arial" w:eastAsiaTheme="minorEastAsia" w:hAnsi="Arial" w:cs="Arial"/>
          <w:b/>
          <w:lang w:val="en-US" w:eastAsia="ja-JP"/>
        </w:rPr>
      </w:pPr>
    </w:p>
    <w:p w14:paraId="2E7ABF37" w14:textId="584FA079" w:rsidR="00D655E3" w:rsidRPr="00F42E37" w:rsidRDefault="00727AD4" w:rsidP="00D655E3">
      <w:pPr>
        <w:spacing w:before="120" w:after="120"/>
        <w:rPr>
          <w:rFonts w:ascii="Arial" w:eastAsiaTheme="minorEastAsia" w:hAnsi="Arial" w:cs="Arial"/>
          <w:b/>
          <w:sz w:val="28"/>
          <w:szCs w:val="28"/>
          <w:lang w:val="en-US" w:eastAsia="ja-JP"/>
        </w:rPr>
      </w:pPr>
      <w:r>
        <w:rPr>
          <w:rFonts w:ascii="Arial" w:eastAsiaTheme="minorEastAsia" w:hAnsi="Arial" w:cs="Arial"/>
          <w:b/>
          <w:sz w:val="28"/>
          <w:szCs w:val="28"/>
          <w:lang w:val="en-US" w:eastAsia="ja-JP"/>
        </w:rPr>
        <w:t>Teaching and w</w:t>
      </w:r>
      <w:r w:rsidR="007B7FA8" w:rsidRPr="00F42E37">
        <w:rPr>
          <w:rFonts w:ascii="Arial" w:eastAsiaTheme="minorEastAsia" w:hAnsi="Arial" w:cs="Arial"/>
          <w:b/>
          <w:sz w:val="28"/>
          <w:szCs w:val="28"/>
          <w:lang w:val="en-US" w:eastAsia="ja-JP"/>
        </w:rPr>
        <w:t>hole</w:t>
      </w:r>
      <w:r>
        <w:rPr>
          <w:rFonts w:ascii="Arial" w:eastAsiaTheme="minorEastAsia" w:hAnsi="Arial" w:cs="Arial"/>
          <w:b/>
          <w:sz w:val="28"/>
          <w:szCs w:val="28"/>
          <w:lang w:val="en-US" w:eastAsia="ja-JP"/>
        </w:rPr>
        <w:t>-</w:t>
      </w:r>
      <w:r w:rsidR="007B7FA8" w:rsidRPr="00F42E37">
        <w:rPr>
          <w:rFonts w:ascii="Arial" w:eastAsiaTheme="minorEastAsia" w:hAnsi="Arial" w:cs="Arial"/>
          <w:b/>
          <w:sz w:val="28"/>
          <w:szCs w:val="28"/>
          <w:lang w:val="en-US" w:eastAsia="ja-JP"/>
        </w:rPr>
        <w:t xml:space="preserve">school </w:t>
      </w:r>
      <w:r>
        <w:rPr>
          <w:rFonts w:ascii="Arial" w:eastAsiaTheme="minorEastAsia" w:hAnsi="Arial" w:cs="Arial"/>
          <w:b/>
          <w:sz w:val="28"/>
          <w:szCs w:val="28"/>
          <w:lang w:val="en-US" w:eastAsia="ja-JP"/>
        </w:rPr>
        <w:t>strategies</w:t>
      </w:r>
      <w:r w:rsidR="00D655E3" w:rsidRPr="00F42E37">
        <w:rPr>
          <w:rFonts w:ascii="Arial" w:eastAsiaTheme="minorEastAsia" w:hAnsi="Arial" w:cs="Arial"/>
          <w:b/>
          <w:sz w:val="28"/>
          <w:szCs w:val="28"/>
          <w:lang w:val="en-US" w:eastAsia="ja-JP"/>
        </w:rPr>
        <w:t xml:space="preserve"> </w:t>
      </w:r>
    </w:p>
    <w:tbl>
      <w:tblPr>
        <w:tblStyle w:val="TableGrid"/>
        <w:tblW w:w="15314" w:type="dxa"/>
        <w:jc w:val="center"/>
        <w:tblLook w:val="04A0" w:firstRow="1" w:lastRow="0" w:firstColumn="1" w:lastColumn="0" w:noHBand="0" w:noVBand="1"/>
      </w:tblPr>
      <w:tblGrid>
        <w:gridCol w:w="1841"/>
        <w:gridCol w:w="2797"/>
        <w:gridCol w:w="3218"/>
        <w:gridCol w:w="1306"/>
        <w:gridCol w:w="2377"/>
        <w:gridCol w:w="3775"/>
      </w:tblGrid>
      <w:tr w:rsidR="008F2D7A" w14:paraId="663B622C" w14:textId="77777777" w:rsidTr="00195C0D">
        <w:trPr>
          <w:trHeight w:val="775"/>
          <w:jc w:val="center"/>
        </w:trPr>
        <w:tc>
          <w:tcPr>
            <w:tcW w:w="1841" w:type="dxa"/>
            <w:shd w:val="clear" w:color="auto" w:fill="347186"/>
            <w:vAlign w:val="center"/>
          </w:tcPr>
          <w:p w14:paraId="36066923" w14:textId="77777777" w:rsidR="00D655E3" w:rsidRPr="007B7FA8" w:rsidRDefault="00D655E3" w:rsidP="00846A9F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797" w:type="dxa"/>
            <w:shd w:val="clear" w:color="auto" w:fill="347186"/>
            <w:vAlign w:val="center"/>
          </w:tcPr>
          <w:p w14:paraId="2EFC3A7C" w14:textId="77777777" w:rsidR="00D655E3" w:rsidRPr="007B7FA8" w:rsidRDefault="00D655E3" w:rsidP="00846A9F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218" w:type="dxa"/>
            <w:shd w:val="clear" w:color="auto" w:fill="347186"/>
            <w:vAlign w:val="center"/>
          </w:tcPr>
          <w:p w14:paraId="1D5C6790" w14:textId="77777777" w:rsidR="00D655E3" w:rsidRPr="007B7FA8" w:rsidRDefault="00D655E3" w:rsidP="00846A9F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306" w:type="dxa"/>
            <w:shd w:val="clear" w:color="auto" w:fill="347186"/>
            <w:vAlign w:val="center"/>
          </w:tcPr>
          <w:p w14:paraId="7CFDC1D8" w14:textId="12334847" w:rsidR="00D655E3" w:rsidRPr="007B7FA8" w:rsidRDefault="007B7FA8" w:rsidP="00846A9F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377" w:type="dxa"/>
            <w:shd w:val="clear" w:color="auto" w:fill="347186"/>
            <w:vAlign w:val="center"/>
          </w:tcPr>
          <w:p w14:paraId="2E028710" w14:textId="0C0358D9" w:rsidR="00D655E3" w:rsidRPr="007B7FA8" w:rsidRDefault="007B7FA8" w:rsidP="00846A9F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775" w:type="dxa"/>
            <w:shd w:val="clear" w:color="auto" w:fill="347186"/>
            <w:vAlign w:val="center"/>
          </w:tcPr>
          <w:p w14:paraId="32043393" w14:textId="282F8DDC" w:rsidR="00D655E3" w:rsidRPr="007B7FA8" w:rsidRDefault="007B7FA8" w:rsidP="00846A9F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B55245" w14:paraId="5F0525B8" w14:textId="77777777" w:rsidTr="00BC65D0">
        <w:trPr>
          <w:trHeight w:val="1780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F320EAD" w14:textId="33D7E319" w:rsidR="00D655E3" w:rsidRPr="00F42E37" w:rsidRDefault="00723B4C" w:rsidP="00F42E37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lang w:val="en-US" w:eastAsia="ja-JP"/>
              </w:rPr>
            </w:pPr>
            <w:bookmarkStart w:id="2" w:name="_Hlk68858050"/>
            <w:r>
              <w:rPr>
                <w:rFonts w:ascii="Arial" w:eastAsiaTheme="minorEastAsia" w:hAnsi="Arial" w:cs="Arial"/>
                <w:b/>
                <w:lang w:val="en-US" w:eastAsia="ja-JP"/>
              </w:rPr>
              <w:t>Mental Health and Wellbeing of children, staff and families</w:t>
            </w:r>
          </w:p>
        </w:tc>
        <w:tc>
          <w:tcPr>
            <w:tcW w:w="2797" w:type="dxa"/>
            <w:vAlign w:val="center"/>
          </w:tcPr>
          <w:p w14:paraId="67C6F167" w14:textId="77777777" w:rsidR="00D655E3" w:rsidRDefault="006E1661" w:rsidP="00846A9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Clear focus across the school in promoting and teaching the importance of good mental health and wellbeing for all.</w:t>
            </w:r>
          </w:p>
          <w:p w14:paraId="0E69AA6A" w14:textId="6ECCB61B" w:rsidR="00CC4122" w:rsidRPr="002906F5" w:rsidRDefault="00CC4122" w:rsidP="00846A9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Embed the new PHSCE scheme ‘SCARF’ across school.</w:t>
            </w:r>
          </w:p>
        </w:tc>
        <w:tc>
          <w:tcPr>
            <w:tcW w:w="3218" w:type="dxa"/>
            <w:vAlign w:val="center"/>
          </w:tcPr>
          <w:p w14:paraId="06BB5464" w14:textId="5146A447" w:rsidR="006E1661" w:rsidRPr="002906F5" w:rsidRDefault="009A02F7" w:rsidP="00846A9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Quality first teaching of PS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HE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/PS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ED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across the school.  Clear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MH&amp;WB 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focus at beginning of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return periods for all pupils (Sept </w:t>
            </w:r>
            <w:r w:rsidR="00161D9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x 3 weeks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and </w:t>
            </w:r>
            <w:r w:rsidR="00161D9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March x 3 weeks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)</w:t>
            </w:r>
            <w:r w:rsidR="00161D9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before staff complete the </w:t>
            </w:r>
            <w:r w:rsidR="008F2D7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PSHE Assessment tool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.  </w:t>
            </w:r>
            <w:r w:rsidR="008F2D7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Children’s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MH&amp;WB week </w:t>
            </w:r>
            <w:r w:rsidR="008F2D7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held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before Christmas break.</w:t>
            </w:r>
          </w:p>
        </w:tc>
        <w:tc>
          <w:tcPr>
            <w:tcW w:w="1306" w:type="dxa"/>
            <w:vAlign w:val="center"/>
          </w:tcPr>
          <w:p w14:paraId="5BA1366D" w14:textId="15630ACE" w:rsidR="00D655E3" w:rsidRPr="002906F5" w:rsidRDefault="008F2D7A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Time for teaching staff to complete </w:t>
            </w:r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Box</w:t>
            </w:r>
            <w:r w:rsidR="00FD2E33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all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Assessment tool.</w:t>
            </w:r>
            <w:r w:rsidR="00490AD6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51A86D76" w14:textId="77777777" w:rsidR="00FD2E33" w:rsidRDefault="00FD2E33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All staff</w:t>
            </w:r>
          </w:p>
          <w:p w14:paraId="729E89C7" w14:textId="66CFCCE4" w:rsidR="00D655E3" w:rsidRPr="002906F5" w:rsidRDefault="00CC4122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EF (Principal and PHSCE lead)</w:t>
            </w:r>
            <w:r w:rsidR="00490AD6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  <w:p w14:paraId="52B1D2FB" w14:textId="3E732AFD" w:rsidR="00490AD6" w:rsidRPr="002906F5" w:rsidRDefault="00490AD6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775" w:type="dxa"/>
            <w:vAlign w:val="center"/>
          </w:tcPr>
          <w:p w14:paraId="0AF7C9CB" w14:textId="00DEE711" w:rsidR="00D655E3" w:rsidRPr="002906F5" w:rsidRDefault="006E1661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All staff aware of the need to focus on children’s MH&amp;WB as a priority across the school.  </w:t>
            </w:r>
          </w:p>
        </w:tc>
      </w:tr>
      <w:tr w:rsidR="00B55245" w14:paraId="4489A96F" w14:textId="77777777" w:rsidTr="00BC65D0">
        <w:trPr>
          <w:trHeight w:val="2259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65448FC4" w14:textId="2A45EDAB" w:rsidR="00D655E3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lastRenderedPageBreak/>
              <w:t>Development of Physical wellbeing</w:t>
            </w:r>
          </w:p>
          <w:p w14:paraId="119858C5" w14:textId="77777777" w:rsidR="00B353D4" w:rsidRDefault="00B353D4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BC92BBA" w14:textId="77777777" w:rsidR="00B353D4" w:rsidRDefault="00B353D4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384EDCA" w14:textId="27CBAD6E" w:rsidR="00B353D4" w:rsidRPr="002B736B" w:rsidRDefault="00B353D4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797" w:type="dxa"/>
            <w:vAlign w:val="center"/>
          </w:tcPr>
          <w:p w14:paraId="284D457C" w14:textId="616015D6" w:rsidR="00D655E3" w:rsidRPr="002906F5" w:rsidRDefault="006E1661" w:rsidP="001061B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Clear focus across the school in promoting and teaching the importance of good physical health for all.</w:t>
            </w:r>
          </w:p>
          <w:p w14:paraId="4AFD1F79" w14:textId="77777777" w:rsidR="00A24815" w:rsidRPr="002906F5" w:rsidRDefault="00A24815" w:rsidP="00984119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71C1B918" w14:textId="77777777" w:rsidR="00A24815" w:rsidRPr="002906F5" w:rsidRDefault="00A24815" w:rsidP="00A24815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453A1FB0" w14:textId="77777777" w:rsidR="00A24815" w:rsidRPr="002906F5" w:rsidRDefault="00A24815" w:rsidP="008C08A1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2E9F58E4" w14:textId="77777777" w:rsidR="00A24815" w:rsidRPr="002906F5" w:rsidRDefault="00A24815" w:rsidP="00A24815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5974857F" w14:textId="77777777" w:rsidR="00A24815" w:rsidRPr="002906F5" w:rsidRDefault="00A24815" w:rsidP="00A24815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7DA35870" w14:textId="3221E5AA" w:rsidR="00A24815" w:rsidRPr="002906F5" w:rsidRDefault="00A24815" w:rsidP="00984119">
            <w:pP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218" w:type="dxa"/>
            <w:vAlign w:val="center"/>
          </w:tcPr>
          <w:p w14:paraId="7E84BCC4" w14:textId="2483999B" w:rsidR="00D655E3" w:rsidRPr="002906F5" w:rsidRDefault="006E1661" w:rsidP="00CC412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Quality first teaching of PE/Physical Development across the school. Investment in Sports Coach to </w:t>
            </w:r>
            <w:r w:rsidR="00CA304C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deliver high quality PE sessions week</w:t>
            </w:r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ly</w:t>
            </w:r>
            <w:r w:rsidR="00CA304C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to all year groups, whilst providing high quality CPD for all staff.</w:t>
            </w:r>
          </w:p>
        </w:tc>
        <w:tc>
          <w:tcPr>
            <w:tcW w:w="1306" w:type="dxa"/>
            <w:vAlign w:val="center"/>
          </w:tcPr>
          <w:p w14:paraId="454AA39D" w14:textId="13AFA559" w:rsidR="00D655E3" w:rsidRPr="002906F5" w:rsidRDefault="00CA304C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Please see PE and Sports Premium document for further information on costings.</w:t>
            </w:r>
          </w:p>
        </w:tc>
        <w:tc>
          <w:tcPr>
            <w:tcW w:w="2377" w:type="dxa"/>
            <w:vAlign w:val="center"/>
          </w:tcPr>
          <w:p w14:paraId="5B7393FA" w14:textId="49C6CA9D" w:rsidR="006E2F2A" w:rsidRPr="002906F5" w:rsidRDefault="009661CD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WF </w:t>
            </w:r>
            <w:r w:rsidR="00FD2E33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All staff</w:t>
            </w:r>
          </w:p>
        </w:tc>
        <w:tc>
          <w:tcPr>
            <w:tcW w:w="3775" w:type="dxa"/>
            <w:vAlign w:val="center"/>
          </w:tcPr>
          <w:p w14:paraId="7C00C4C5" w14:textId="77777777" w:rsidR="00D655E3" w:rsidRPr="002B736B" w:rsidRDefault="00D655E3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B55245" w14:paraId="78CE945A" w14:textId="77777777" w:rsidTr="00BC65D0">
        <w:trPr>
          <w:trHeight w:val="1411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7035E881" w14:textId="60EBCE18" w:rsidR="00D655E3" w:rsidRPr="002B736B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Phonics and Early Reading skills</w:t>
            </w:r>
          </w:p>
        </w:tc>
        <w:tc>
          <w:tcPr>
            <w:tcW w:w="2797" w:type="dxa"/>
            <w:vAlign w:val="center"/>
          </w:tcPr>
          <w:p w14:paraId="5F258D41" w14:textId="3BD10264" w:rsidR="00D655E3" w:rsidRPr="002906F5" w:rsidRDefault="00253CAA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Highest priority placed on developing pupils’ knowledge and skills in early reading</w:t>
            </w:r>
          </w:p>
        </w:tc>
        <w:tc>
          <w:tcPr>
            <w:tcW w:w="3218" w:type="dxa"/>
            <w:vAlign w:val="center"/>
          </w:tcPr>
          <w:p w14:paraId="393641B8" w14:textId="0EE6ED10" w:rsidR="00D655E3" w:rsidRPr="002906F5" w:rsidRDefault="00253CAA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Quality first teaching of </w:t>
            </w:r>
            <w:r w:rsidR="00335CE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a robust, systematic, synthetic Phonics </w:t>
            </w:r>
            <w:proofErr w:type="spellStart"/>
            <w:r w:rsidR="00335CE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programme</w:t>
            </w:r>
            <w:proofErr w:type="spellEnd"/>
            <w:r w:rsidR="00335CE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– </w:t>
            </w:r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Read Write </w:t>
            </w:r>
            <w:proofErr w:type="spellStart"/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Inc</w:t>
            </w:r>
            <w:proofErr w:type="spellEnd"/>
            <w:r w:rsidR="00D46C34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, delivered daily </w:t>
            </w:r>
            <w:r w:rsidR="00E00EEE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by class teachers.</w:t>
            </w:r>
          </w:p>
          <w:p w14:paraId="6AB38DFC" w14:textId="77777777" w:rsidR="003500C8" w:rsidRPr="002906F5" w:rsidRDefault="003500C8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Identification of any gaps </w:t>
            </w:r>
            <w:r w:rsidR="00A66B25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– tailor planning to meet the needs of the class</w:t>
            </w:r>
          </w:p>
          <w:p w14:paraId="3EA8E223" w14:textId="291A78A5" w:rsidR="00A66B25" w:rsidRPr="002906F5" w:rsidRDefault="00A66B25" w:rsidP="00CC412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Focus on </w:t>
            </w:r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developing strong fidelity to the published scheme and monitoring progress against it.</w:t>
            </w:r>
          </w:p>
        </w:tc>
        <w:tc>
          <w:tcPr>
            <w:tcW w:w="1306" w:type="dxa"/>
            <w:vAlign w:val="center"/>
          </w:tcPr>
          <w:p w14:paraId="75DDC01E" w14:textId="5FE703B1" w:rsidR="00704204" w:rsidRPr="002906F5" w:rsidRDefault="00F22015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New reading books for phonetic bands</w:t>
            </w:r>
          </w:p>
          <w:p w14:paraId="6FF8254A" w14:textId="0C4DE9C1" w:rsidR="00704204" w:rsidRPr="002906F5" w:rsidRDefault="00704204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Both ha</w:t>
            </w:r>
            <w:r w:rsidR="00250AAE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ve links to remote learning plan.</w:t>
            </w:r>
          </w:p>
        </w:tc>
        <w:tc>
          <w:tcPr>
            <w:tcW w:w="2377" w:type="dxa"/>
            <w:vAlign w:val="center"/>
          </w:tcPr>
          <w:p w14:paraId="6A36360B" w14:textId="365600F9" w:rsidR="001211A7" w:rsidRDefault="00CC4122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EC Early Reading Lead</w:t>
            </w:r>
          </w:p>
          <w:p w14:paraId="1C70279A" w14:textId="15ABFBF1" w:rsidR="003F6F4D" w:rsidRDefault="003F6F4D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01ECFA7C" w14:textId="3318C543" w:rsidR="003F6F4D" w:rsidRPr="002906F5" w:rsidRDefault="003F6F4D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AA English Lead</w:t>
            </w:r>
            <w:r w:rsidR="003017EC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(overseeing)</w:t>
            </w:r>
          </w:p>
          <w:p w14:paraId="1DBB7A27" w14:textId="2D73161E" w:rsidR="001211A7" w:rsidRPr="002906F5" w:rsidRDefault="001211A7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3C49DDCB" w14:textId="77777777" w:rsidR="00D655E3" w:rsidRPr="002B736B" w:rsidRDefault="00D655E3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B55245" w14:paraId="0E996466" w14:textId="77777777" w:rsidTr="00BC65D0">
        <w:trPr>
          <w:trHeight w:val="1411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05F0CD87" w14:textId="004163AE" w:rsidR="00723B4C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Early Mathematical skills</w:t>
            </w:r>
          </w:p>
        </w:tc>
        <w:tc>
          <w:tcPr>
            <w:tcW w:w="2797" w:type="dxa"/>
            <w:vAlign w:val="center"/>
          </w:tcPr>
          <w:p w14:paraId="02097948" w14:textId="5C559423" w:rsidR="00723B4C" w:rsidRPr="002906F5" w:rsidRDefault="00655779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Highest priority placed on developing </w:t>
            </w:r>
            <w:r w:rsidR="00B55245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pupils’ knowledge and skills in mathematics</w:t>
            </w:r>
          </w:p>
        </w:tc>
        <w:tc>
          <w:tcPr>
            <w:tcW w:w="3218" w:type="dxa"/>
            <w:vAlign w:val="center"/>
          </w:tcPr>
          <w:p w14:paraId="46AA7448" w14:textId="77777777" w:rsidR="00723B4C" w:rsidRPr="002906F5" w:rsidRDefault="00B55245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Quality first teaching of a </w:t>
            </w:r>
            <w:r w:rsidR="00BA196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robust and systematic Mathematics </w:t>
            </w:r>
            <w:proofErr w:type="spellStart"/>
            <w:r w:rsidR="00BA196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programme</w:t>
            </w:r>
            <w:proofErr w:type="spellEnd"/>
            <w:r w:rsidR="00BA196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– using White Rose Planning as a basis, delivered daily by class teachers.</w:t>
            </w:r>
          </w:p>
          <w:p w14:paraId="407E6C57" w14:textId="3C1B69D7" w:rsidR="00BA196A" w:rsidRPr="002906F5" w:rsidRDefault="00BA196A" w:rsidP="00CC412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Identification of any gaps – tailor planning to meet the needs of the class</w:t>
            </w:r>
            <w:r w:rsidR="008A4D1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1306" w:type="dxa"/>
            <w:vAlign w:val="center"/>
          </w:tcPr>
          <w:p w14:paraId="4D0F0D63" w14:textId="3DFE81DC" w:rsidR="00702A06" w:rsidRPr="002906F5" w:rsidRDefault="00BB3279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White Rose Planning </w:t>
            </w:r>
            <w:r w:rsidR="00702A06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– paid for in 2019-20.  Ongoing cost into 2020-21.</w:t>
            </w:r>
          </w:p>
        </w:tc>
        <w:tc>
          <w:tcPr>
            <w:tcW w:w="2377" w:type="dxa"/>
            <w:vAlign w:val="center"/>
          </w:tcPr>
          <w:p w14:paraId="55818041" w14:textId="08FEF48F" w:rsidR="00006E4C" w:rsidRPr="002906F5" w:rsidRDefault="00CC4122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EF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Maths</w:t>
            </w:r>
            <w:proofErr w:type="spellEnd"/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lead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64223007" w14:textId="77777777" w:rsidR="00723B4C" w:rsidRPr="002B736B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B55245" w14:paraId="261B9FEF" w14:textId="77777777" w:rsidTr="00BC65D0">
        <w:trPr>
          <w:trHeight w:val="1411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8EC2258" w14:textId="66E0A384" w:rsidR="00723B4C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 presentation skills across the school including fine motor skills</w:t>
            </w:r>
          </w:p>
        </w:tc>
        <w:tc>
          <w:tcPr>
            <w:tcW w:w="2797" w:type="dxa"/>
            <w:vAlign w:val="center"/>
          </w:tcPr>
          <w:p w14:paraId="1CD8E1E2" w14:textId="502CB866" w:rsidR="00DB042D" w:rsidRPr="002906F5" w:rsidRDefault="00DB042D" w:rsidP="00DB042D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Clear focus across the school in promoting and teaching the importance </w:t>
            </w:r>
            <w:r w:rsidR="00182B2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of a clear, legible presentation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="00182B2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style 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for all.</w:t>
            </w:r>
          </w:p>
          <w:p w14:paraId="35EE5B91" w14:textId="77777777" w:rsidR="00723B4C" w:rsidRPr="002906F5" w:rsidRDefault="00723B4C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218" w:type="dxa"/>
            <w:vAlign w:val="center"/>
          </w:tcPr>
          <w:p w14:paraId="26218FAE" w14:textId="77777777" w:rsidR="00723B4C" w:rsidRPr="002906F5" w:rsidRDefault="00182B2A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Quality first teaching of handwriting across the school, ensuring that we have a </w:t>
            </w:r>
            <w:r w:rsidR="00F30D59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clear policy for presentation.</w:t>
            </w:r>
          </w:p>
          <w:p w14:paraId="76FD2AAE" w14:textId="77777777" w:rsidR="00F26B75" w:rsidRPr="002906F5" w:rsidRDefault="00F26B75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there is a timetabled </w:t>
            </w:r>
            <w:r w:rsidR="002E3AD9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slot for the teaching of </w:t>
            </w:r>
            <w:r w:rsidR="002E3AD9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handwriting throughout the week, little and often.</w:t>
            </w:r>
          </w:p>
          <w:p w14:paraId="143B9C1A" w14:textId="01F3EF10" w:rsidR="00F527C5" w:rsidRPr="002906F5" w:rsidRDefault="00F527C5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Identification of any gaps </w:t>
            </w:r>
            <w:r w:rsidR="004C12D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tailor planning to meet the needs of the </w:t>
            </w:r>
            <w:r w:rsidR="00045AF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class.</w:t>
            </w:r>
          </w:p>
        </w:tc>
        <w:tc>
          <w:tcPr>
            <w:tcW w:w="1306" w:type="dxa"/>
            <w:vAlign w:val="center"/>
          </w:tcPr>
          <w:p w14:paraId="4DE03D6D" w14:textId="3D7774D7" w:rsidR="00723B4C" w:rsidRPr="002906F5" w:rsidRDefault="00FD2E33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Handwriting scheme</w:t>
            </w:r>
          </w:p>
        </w:tc>
        <w:tc>
          <w:tcPr>
            <w:tcW w:w="2377" w:type="dxa"/>
            <w:vAlign w:val="center"/>
          </w:tcPr>
          <w:p w14:paraId="2EA17057" w14:textId="7776A300" w:rsidR="00DF2E32" w:rsidRPr="002906F5" w:rsidRDefault="00CC4122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AA English Lead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025F891C" w14:textId="77777777" w:rsidR="00723B4C" w:rsidRPr="002B736B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B55245" w14:paraId="3122C7F4" w14:textId="77777777" w:rsidTr="00BC65D0">
        <w:trPr>
          <w:trHeight w:val="1411"/>
          <w:jc w:val="center"/>
        </w:trPr>
        <w:tc>
          <w:tcPr>
            <w:tcW w:w="1841" w:type="dxa"/>
            <w:shd w:val="clear" w:color="auto" w:fill="FFFFFF" w:themeFill="background1"/>
            <w:vAlign w:val="center"/>
          </w:tcPr>
          <w:p w14:paraId="4A6D80BA" w14:textId="5DC913F6" w:rsidR="00723B4C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Development of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ja-JP"/>
              </w:rPr>
              <w:t>behaviour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for learning</w:t>
            </w:r>
          </w:p>
        </w:tc>
        <w:tc>
          <w:tcPr>
            <w:tcW w:w="2797" w:type="dxa"/>
            <w:vAlign w:val="center"/>
          </w:tcPr>
          <w:p w14:paraId="65F04DA3" w14:textId="2B29CABE" w:rsidR="00723B4C" w:rsidRPr="002906F5" w:rsidRDefault="004A31E4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Clear focus across the school in promoting and teaching the 7 Learning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behaviours</w:t>
            </w:r>
            <w:proofErr w:type="spellEnd"/>
            <w:r w:rsidR="007B2BCC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and building in Safe, Ready, Respectful as part of class vocabulary for expectation.</w:t>
            </w:r>
          </w:p>
        </w:tc>
        <w:tc>
          <w:tcPr>
            <w:tcW w:w="3218" w:type="dxa"/>
            <w:vAlign w:val="center"/>
          </w:tcPr>
          <w:p w14:paraId="4EDF5FE6" w14:textId="77AE45C8" w:rsidR="00723B4C" w:rsidRPr="002906F5" w:rsidRDefault="004A31E4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Quality first teaching on a day to day basis, reminding children about the expectations around </w:t>
            </w:r>
            <w:r w:rsidR="00E3635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independence, </w:t>
            </w:r>
            <w:r w:rsidR="006B7676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listening, curiosity, co-operation, perseverance, risk-taking and resilience.</w:t>
            </w:r>
          </w:p>
        </w:tc>
        <w:tc>
          <w:tcPr>
            <w:tcW w:w="1306" w:type="dxa"/>
            <w:vAlign w:val="center"/>
          </w:tcPr>
          <w:p w14:paraId="6A6ED3CB" w14:textId="77777777" w:rsidR="00723B4C" w:rsidRPr="002906F5" w:rsidRDefault="00723B4C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377" w:type="dxa"/>
            <w:vAlign w:val="center"/>
          </w:tcPr>
          <w:p w14:paraId="6962C04A" w14:textId="2EAB493E" w:rsidR="006C31DF" w:rsidRPr="002906F5" w:rsidRDefault="00CC4122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EF</w:t>
            </w:r>
          </w:p>
          <w:p w14:paraId="38BFF966" w14:textId="7385731E" w:rsidR="006C31DF" w:rsidRPr="002906F5" w:rsidRDefault="006C31DF" w:rsidP="00846A9F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All staff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37CF920D" w14:textId="77777777" w:rsidR="00723B4C" w:rsidRPr="002B736B" w:rsidRDefault="00723B4C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2"/>
      <w:tr w:rsidR="00D655E3" w14:paraId="1D343404" w14:textId="77777777" w:rsidTr="00195C0D">
        <w:trPr>
          <w:trHeight w:val="136"/>
          <w:jc w:val="center"/>
        </w:trPr>
        <w:tc>
          <w:tcPr>
            <w:tcW w:w="7856" w:type="dxa"/>
            <w:gridSpan w:val="3"/>
            <w:shd w:val="clear" w:color="auto" w:fill="347186"/>
            <w:vAlign w:val="center"/>
          </w:tcPr>
          <w:p w14:paraId="281E3835" w14:textId="77777777" w:rsidR="00D655E3" w:rsidRPr="00C07469" w:rsidRDefault="00D655E3" w:rsidP="00846A9F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14:paraId="2A5F184E" w14:textId="561AE4C5" w:rsidR="00D655E3" w:rsidRPr="002B736B" w:rsidRDefault="00D655E3" w:rsidP="00846A9F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</w:t>
            </w:r>
            <w:r w:rsidR="00195C0D">
              <w:rPr>
                <w:rFonts w:ascii="Arial" w:eastAsiaTheme="minorEastAsia" w:hAnsi="Arial" w:cs="Arial"/>
                <w:b/>
                <w:lang w:val="en-US" w:eastAsia="ja-JP"/>
              </w:rPr>
              <w:t>2000</w:t>
            </w:r>
          </w:p>
        </w:tc>
      </w:tr>
    </w:tbl>
    <w:p w14:paraId="573C7182" w14:textId="77777777" w:rsidR="00D655E3" w:rsidRPr="00397A2F" w:rsidRDefault="00D655E3" w:rsidP="0009745F">
      <w:pPr>
        <w:spacing w:before="120" w:after="0"/>
        <w:rPr>
          <w:rFonts w:ascii="Arial" w:hAnsi="Arial" w:cs="Arial"/>
          <w:b/>
          <w:lang w:val="en-US" w:eastAsia="ja-JP"/>
        </w:rPr>
      </w:pPr>
    </w:p>
    <w:p w14:paraId="1113C5FB" w14:textId="3F498188" w:rsidR="00F42E37" w:rsidRDefault="00F42E37" w:rsidP="0009745F">
      <w:pPr>
        <w:spacing w:after="120"/>
        <w:rPr>
          <w:rFonts w:ascii="Arial" w:hAnsi="Arial" w:cs="Arial"/>
          <w:b/>
          <w:sz w:val="28"/>
          <w:szCs w:val="20"/>
          <w:lang w:val="en-US" w:eastAsia="ja-JP"/>
        </w:rPr>
      </w:pPr>
      <w:r w:rsidRPr="00F42E37">
        <w:rPr>
          <w:rFonts w:ascii="Arial" w:hAnsi="Arial" w:cs="Arial"/>
          <w:b/>
          <w:sz w:val="28"/>
          <w:szCs w:val="20"/>
          <w:lang w:val="en-US" w:eastAsia="ja-JP"/>
        </w:rPr>
        <w:t xml:space="preserve">Targeted support </w:t>
      </w: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1699"/>
        <w:gridCol w:w="2744"/>
        <w:gridCol w:w="3151"/>
        <w:gridCol w:w="1598"/>
        <w:gridCol w:w="2328"/>
        <w:gridCol w:w="3653"/>
      </w:tblGrid>
      <w:tr w:rsidR="00F26B75" w14:paraId="12F9CB4D" w14:textId="77777777" w:rsidTr="005624BB">
        <w:trPr>
          <w:trHeight w:val="775"/>
          <w:jc w:val="center"/>
        </w:trPr>
        <w:tc>
          <w:tcPr>
            <w:tcW w:w="1699" w:type="dxa"/>
            <w:shd w:val="clear" w:color="auto" w:fill="347186"/>
            <w:vAlign w:val="center"/>
          </w:tcPr>
          <w:p w14:paraId="02A670D1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744" w:type="dxa"/>
            <w:shd w:val="clear" w:color="auto" w:fill="347186"/>
            <w:vAlign w:val="center"/>
          </w:tcPr>
          <w:p w14:paraId="4642C0DE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151" w:type="dxa"/>
            <w:shd w:val="clear" w:color="auto" w:fill="347186"/>
            <w:vAlign w:val="center"/>
          </w:tcPr>
          <w:p w14:paraId="09EDCE4F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598" w:type="dxa"/>
            <w:shd w:val="clear" w:color="auto" w:fill="347186"/>
            <w:vAlign w:val="center"/>
          </w:tcPr>
          <w:p w14:paraId="03106606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328" w:type="dxa"/>
            <w:shd w:val="clear" w:color="auto" w:fill="347186"/>
            <w:vAlign w:val="center"/>
          </w:tcPr>
          <w:p w14:paraId="2726A5EF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653" w:type="dxa"/>
            <w:shd w:val="clear" w:color="auto" w:fill="347186"/>
            <w:vAlign w:val="center"/>
          </w:tcPr>
          <w:p w14:paraId="10B88CAF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F26B75" w14:paraId="64CEF22A" w14:textId="77777777" w:rsidTr="00BC65D0">
        <w:trPr>
          <w:trHeight w:val="1836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13F90585" w14:textId="07A67F69" w:rsidR="00723B4C" w:rsidRPr="00F42E37" w:rsidRDefault="00723B4C" w:rsidP="00723B4C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Mental Health and Wellbeing of children, staff and families</w:t>
            </w:r>
          </w:p>
        </w:tc>
        <w:tc>
          <w:tcPr>
            <w:tcW w:w="2744" w:type="dxa"/>
            <w:vAlign w:val="center"/>
          </w:tcPr>
          <w:p w14:paraId="535569CD" w14:textId="302BE5A5" w:rsidR="00723B4C" w:rsidRPr="002906F5" w:rsidRDefault="006E1661" w:rsidP="00723B4C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Systems in place across school to identify and support all stakeholders who may have poor mental health as a result of lockdown</w:t>
            </w:r>
          </w:p>
        </w:tc>
        <w:tc>
          <w:tcPr>
            <w:tcW w:w="3151" w:type="dxa"/>
            <w:vAlign w:val="center"/>
          </w:tcPr>
          <w:p w14:paraId="0EC8B6F1" w14:textId="6C124FB0" w:rsidR="00723B4C" w:rsidRPr="002906F5" w:rsidRDefault="009A02F7" w:rsidP="00CC4122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Early identification of needs through new PSHE Assessment tool, Boxall Profile, Mentoring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programme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r w:rsidR="00CC412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(was THRIVE)</w:t>
            </w:r>
          </w:p>
        </w:tc>
        <w:tc>
          <w:tcPr>
            <w:tcW w:w="1598" w:type="dxa"/>
            <w:vAlign w:val="center"/>
          </w:tcPr>
          <w:p w14:paraId="6F4A470C" w14:textId="6B63261B" w:rsidR="00723B4C" w:rsidRPr="002906F5" w:rsidRDefault="00723B4C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451EEA62" w14:textId="17657A31" w:rsidR="00DF3FF3" w:rsidRPr="002906F5" w:rsidRDefault="00DF3FF3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Time for staff to </w:t>
            </w:r>
            <w:r w:rsidR="00A738F0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deliver individual or small group interventions based on support resources</w:t>
            </w:r>
          </w:p>
        </w:tc>
        <w:tc>
          <w:tcPr>
            <w:tcW w:w="2328" w:type="dxa"/>
            <w:vAlign w:val="center"/>
          </w:tcPr>
          <w:p w14:paraId="6CD01AC1" w14:textId="3DD71E36" w:rsidR="00A17AA6" w:rsidRPr="002906F5" w:rsidRDefault="00FD2E33" w:rsidP="00A17AA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All staff</w:t>
            </w:r>
          </w:p>
          <w:p w14:paraId="4E12793C" w14:textId="040698F2" w:rsidR="00723B4C" w:rsidRPr="002906F5" w:rsidRDefault="00CC4122" w:rsidP="00A17AA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Tina Adams and Betsy Rowe (Thrive workers)</w:t>
            </w:r>
          </w:p>
        </w:tc>
        <w:tc>
          <w:tcPr>
            <w:tcW w:w="3653" w:type="dxa"/>
            <w:vAlign w:val="center"/>
          </w:tcPr>
          <w:p w14:paraId="35C1BF26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26B75" w14:paraId="056187A5" w14:textId="77777777" w:rsidTr="00BC65D0">
        <w:trPr>
          <w:trHeight w:val="1691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19729BEA" w14:textId="77777777" w:rsidR="00723B4C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Physical wellbeing</w:t>
            </w:r>
          </w:p>
          <w:p w14:paraId="5CD41F65" w14:textId="77777777" w:rsidR="00723B4C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0C55928" w14:textId="77777777" w:rsidR="00723B4C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722D1B88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744" w:type="dxa"/>
            <w:vAlign w:val="center"/>
          </w:tcPr>
          <w:p w14:paraId="47862E49" w14:textId="184C5629" w:rsidR="00723B4C" w:rsidRPr="002906F5" w:rsidRDefault="00FE13B8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 xml:space="preserve">Ensure the focus is raised across the school of the importance of </w:t>
            </w:r>
            <w:r w:rsidR="003A63CD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ensuring good physical wellbeing in order to support mental health and wellbeing</w:t>
            </w:r>
          </w:p>
        </w:tc>
        <w:tc>
          <w:tcPr>
            <w:tcW w:w="3151" w:type="dxa"/>
            <w:vAlign w:val="center"/>
          </w:tcPr>
          <w:p w14:paraId="15EBD275" w14:textId="77777777" w:rsidR="00B52EB8" w:rsidRPr="002906F5" w:rsidRDefault="00071282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Early identification of pupils who </w:t>
            </w:r>
            <w:r w:rsidR="00873985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need further support in terms of being physically healthy including </w:t>
            </w:r>
            <w:r w:rsidR="00B52EB8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offers of </w:t>
            </w:r>
            <w:r w:rsidR="00873985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extended school clubs</w:t>
            </w:r>
            <w:r w:rsidR="00B52EB8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="00B52EB8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etc</w:t>
            </w:r>
            <w:proofErr w:type="spellEnd"/>
          </w:p>
          <w:p w14:paraId="01AA865B" w14:textId="0C2624E7" w:rsidR="006405FA" w:rsidRPr="002906F5" w:rsidRDefault="006405FA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598" w:type="dxa"/>
            <w:vAlign w:val="center"/>
          </w:tcPr>
          <w:p w14:paraId="05F110C0" w14:textId="3E2BECA6" w:rsidR="00723B4C" w:rsidRPr="002906F5" w:rsidRDefault="00B71BC5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Please see PE and Sports Premium document for further information on costings.</w:t>
            </w:r>
          </w:p>
        </w:tc>
        <w:tc>
          <w:tcPr>
            <w:tcW w:w="2328" w:type="dxa"/>
            <w:vAlign w:val="center"/>
          </w:tcPr>
          <w:p w14:paraId="0C1C585E" w14:textId="457C1AD0" w:rsidR="00B71BC5" w:rsidRPr="002906F5" w:rsidRDefault="00B71BC5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53" w:type="dxa"/>
            <w:vAlign w:val="center"/>
          </w:tcPr>
          <w:p w14:paraId="3676C49D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26B75" w14:paraId="142D0DAA" w14:textId="77777777" w:rsidTr="00BC65D0">
        <w:trPr>
          <w:trHeight w:val="1560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099D71E7" w14:textId="3DFA29D9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Phonics and Early Reading skills</w:t>
            </w:r>
          </w:p>
        </w:tc>
        <w:tc>
          <w:tcPr>
            <w:tcW w:w="2744" w:type="dxa"/>
            <w:vAlign w:val="center"/>
          </w:tcPr>
          <w:p w14:paraId="78275DCB" w14:textId="05086545" w:rsidR="00723B4C" w:rsidRPr="002906F5" w:rsidRDefault="00A32A96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systems are in place to identify and support any children who are falling behind </w:t>
            </w:r>
            <w:r w:rsidR="001B2E5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with their phonics </w:t>
            </w:r>
            <w:r w:rsidR="004B5D0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/ early reading 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and increase their ability to catch up with their peers</w:t>
            </w:r>
          </w:p>
        </w:tc>
        <w:tc>
          <w:tcPr>
            <w:tcW w:w="3151" w:type="dxa"/>
            <w:vAlign w:val="center"/>
          </w:tcPr>
          <w:p w14:paraId="38E1AAED" w14:textId="77777777" w:rsidR="00751817" w:rsidRPr="002906F5" w:rsidRDefault="000412DF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Daily interventions</w:t>
            </w:r>
            <w:r w:rsidR="00652B7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/</w:t>
            </w:r>
            <w:r w:rsidR="00652B7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opportunities to read</w:t>
            </w:r>
            <w:r w:rsidR="00652B7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,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for the lowest 20% of pupils across each class. </w:t>
            </w:r>
          </w:p>
          <w:p w14:paraId="042BA4A5" w14:textId="2EF6B5D6" w:rsidR="00723B4C" w:rsidRPr="002906F5" w:rsidRDefault="00751817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Regular (half termly) PST with Y1 and Y2 to ensure </w:t>
            </w:r>
            <w:r w:rsidR="007E09C4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any children at risk of not meeting the desired </w:t>
            </w:r>
            <w:r w:rsidR="00AC2F6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levels are picked up instantly with </w:t>
            </w:r>
            <w:r w:rsidR="00325E3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QFT and Targeted support.</w:t>
            </w:r>
            <w:r w:rsidR="000412D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  <w:p w14:paraId="19461B67" w14:textId="6580B1B7" w:rsidR="0059105D" w:rsidRPr="002906F5" w:rsidRDefault="0059105D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Create a physical Phonics resource bank and area within school to support staff and children </w:t>
            </w:r>
            <w:r w:rsidR="0075181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from Phase 1 upwards.</w:t>
            </w:r>
          </w:p>
        </w:tc>
        <w:tc>
          <w:tcPr>
            <w:tcW w:w="1598" w:type="dxa"/>
            <w:vAlign w:val="center"/>
          </w:tcPr>
          <w:p w14:paraId="554B00A6" w14:textId="77777777" w:rsidR="00723B4C" w:rsidRPr="002906F5" w:rsidRDefault="008F6E63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Staff training costs</w:t>
            </w:r>
          </w:p>
          <w:p w14:paraId="6B95E8F6" w14:textId="77777777" w:rsidR="008F6E63" w:rsidRPr="002906F5" w:rsidRDefault="008F6E63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3195EC33" w14:textId="60F67BC4" w:rsidR="008F6E63" w:rsidRPr="002906F5" w:rsidRDefault="0082035A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Support for staff to set up Accelerated reader labels, </w:t>
            </w:r>
            <w:r w:rsidR="00E07493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set up Phonics resource base, </w:t>
            </w:r>
            <w:proofErr w:type="spellStart"/>
            <w:r w:rsidR="00E07493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etc</w:t>
            </w:r>
            <w:proofErr w:type="spellEnd"/>
            <w:r w:rsidR="00E07493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14:paraId="5F9339B1" w14:textId="451D7A53" w:rsidR="00723B4C" w:rsidRPr="002906F5" w:rsidRDefault="00723B4C" w:rsidP="00325E3A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2E191AFC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26B75" w14:paraId="1271275D" w14:textId="77777777" w:rsidTr="00BC65D0">
        <w:trPr>
          <w:trHeight w:val="1560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51DAAFEA" w14:textId="41244D43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Early Mathematical skills</w:t>
            </w:r>
          </w:p>
        </w:tc>
        <w:tc>
          <w:tcPr>
            <w:tcW w:w="2744" w:type="dxa"/>
            <w:vAlign w:val="center"/>
          </w:tcPr>
          <w:p w14:paraId="4D9B7B13" w14:textId="64A02BA0" w:rsidR="00723B4C" w:rsidRPr="002906F5" w:rsidRDefault="00BF2646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Ensure that systems are in place to identify and support any children who are falling behind with their mathematical / early number skills and increase their ability to catch up with their peers</w:t>
            </w:r>
          </w:p>
        </w:tc>
        <w:tc>
          <w:tcPr>
            <w:tcW w:w="3151" w:type="dxa"/>
            <w:vAlign w:val="center"/>
          </w:tcPr>
          <w:p w14:paraId="18EFDEBA" w14:textId="77777777" w:rsidR="00336CE6" w:rsidRPr="002906F5" w:rsidRDefault="00336CE6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Daily interventions / opportunities to have pre-teaching / post-teaching </w:t>
            </w:r>
            <w:r w:rsidR="0021557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for the lowest 20% of pupils across each class.</w:t>
            </w:r>
          </w:p>
          <w:p w14:paraId="60CD644A" w14:textId="32DCEBFF" w:rsidR="00573C29" w:rsidRPr="002906F5" w:rsidRDefault="00215577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Regular half termly teacher assessment on where the class are in terms of mathematical development and understanding. </w:t>
            </w:r>
            <w:r w:rsidR="002A12E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Any issues to be quickly picked up with QFT and targeted support.</w:t>
            </w:r>
          </w:p>
        </w:tc>
        <w:tc>
          <w:tcPr>
            <w:tcW w:w="1598" w:type="dxa"/>
            <w:vAlign w:val="center"/>
          </w:tcPr>
          <w:p w14:paraId="428D434C" w14:textId="286D3B60" w:rsidR="00E439BD" w:rsidRPr="002906F5" w:rsidRDefault="00170631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Staff training costs</w:t>
            </w:r>
          </w:p>
        </w:tc>
        <w:tc>
          <w:tcPr>
            <w:tcW w:w="2328" w:type="dxa"/>
            <w:vAlign w:val="center"/>
          </w:tcPr>
          <w:p w14:paraId="405BA156" w14:textId="00AECDCB" w:rsidR="00723B4C" w:rsidRPr="002906F5" w:rsidRDefault="00723B4C" w:rsidP="00006E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6493B35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26B75" w14:paraId="01E6DE6F" w14:textId="77777777" w:rsidTr="00BC65D0">
        <w:trPr>
          <w:trHeight w:val="1560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7FAB630B" w14:textId="28B4DE9B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lastRenderedPageBreak/>
              <w:t>Develop presentation skills across the school including fine motor skills</w:t>
            </w:r>
          </w:p>
        </w:tc>
        <w:tc>
          <w:tcPr>
            <w:tcW w:w="2744" w:type="dxa"/>
            <w:vAlign w:val="center"/>
          </w:tcPr>
          <w:p w14:paraId="6D03A24B" w14:textId="2480E634" w:rsidR="00723B4C" w:rsidRPr="002906F5" w:rsidRDefault="00DF2E32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systems are in place to ensure </w:t>
            </w:r>
            <w:r w:rsidR="00FB11B9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that a more uniformed handwriting style is in place throughout the school.</w:t>
            </w:r>
          </w:p>
        </w:tc>
        <w:tc>
          <w:tcPr>
            <w:tcW w:w="3151" w:type="dxa"/>
            <w:vAlign w:val="center"/>
          </w:tcPr>
          <w:p w14:paraId="205F236E" w14:textId="6D5B6E05" w:rsidR="00F26B75" w:rsidRPr="002906F5" w:rsidRDefault="0074226A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Introduction of </w:t>
            </w:r>
            <w:r w:rsidR="00070BC4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cursive script as an expectation </w:t>
            </w:r>
            <w:r w:rsidR="00F26B75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across the school so that there is a uniformed approach to the teaching of handwriting.</w:t>
            </w:r>
          </w:p>
          <w:p w14:paraId="3F75F67B" w14:textId="12D2143D" w:rsidR="00723B4C" w:rsidRPr="002906F5" w:rsidRDefault="00FB11B9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Individual children to be targeted for </w:t>
            </w:r>
            <w:r w:rsidR="0074226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support where appropriate.</w:t>
            </w:r>
          </w:p>
        </w:tc>
        <w:tc>
          <w:tcPr>
            <w:tcW w:w="1598" w:type="dxa"/>
            <w:vAlign w:val="center"/>
          </w:tcPr>
          <w:p w14:paraId="2B7DA16E" w14:textId="25856766" w:rsidR="00723B4C" w:rsidRPr="002906F5" w:rsidRDefault="00723B4C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328" w:type="dxa"/>
            <w:vAlign w:val="center"/>
          </w:tcPr>
          <w:p w14:paraId="0DA6BD26" w14:textId="4D19A5DC" w:rsidR="00723B4C" w:rsidRPr="002906F5" w:rsidRDefault="00723B4C" w:rsidP="00DF2E3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0B31985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26B75" w14:paraId="1AB0D081" w14:textId="77777777" w:rsidTr="00BC65D0">
        <w:trPr>
          <w:trHeight w:val="1560"/>
          <w:jc w:val="center"/>
        </w:trPr>
        <w:tc>
          <w:tcPr>
            <w:tcW w:w="1699" w:type="dxa"/>
            <w:shd w:val="clear" w:color="auto" w:fill="FFFFFF" w:themeFill="background1"/>
            <w:vAlign w:val="center"/>
          </w:tcPr>
          <w:p w14:paraId="531EE47D" w14:textId="6DAD07E9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Development of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ja-JP"/>
              </w:rPr>
              <w:t>behaviour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for learning</w:t>
            </w:r>
          </w:p>
        </w:tc>
        <w:tc>
          <w:tcPr>
            <w:tcW w:w="2744" w:type="dxa"/>
            <w:vAlign w:val="center"/>
          </w:tcPr>
          <w:p w14:paraId="63307443" w14:textId="55BB6B96" w:rsidR="00723B4C" w:rsidRPr="002906F5" w:rsidRDefault="006C31DF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systems are in place to </w:t>
            </w:r>
            <w:r w:rsidR="00D85400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identify what the expectations for learning are across the school</w:t>
            </w:r>
            <w:r w:rsidR="00C6369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, and support those pupils who are struggling to meet those expectations.</w:t>
            </w:r>
          </w:p>
        </w:tc>
        <w:tc>
          <w:tcPr>
            <w:tcW w:w="3151" w:type="dxa"/>
            <w:vAlign w:val="center"/>
          </w:tcPr>
          <w:p w14:paraId="5CC7FC19" w14:textId="77777777" w:rsidR="00A9708F" w:rsidRPr="002906F5" w:rsidRDefault="00DC0BC6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Create a learning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behaviour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charter based on the 7 learning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behaviour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superheroes in school</w:t>
            </w:r>
            <w:r w:rsidR="00A9708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, so all staff, parents, children, </w:t>
            </w:r>
            <w:proofErr w:type="spellStart"/>
            <w:r w:rsidR="00A9708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etc</w:t>
            </w:r>
            <w:proofErr w:type="spellEnd"/>
            <w:r w:rsidR="00A9708F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are aware of expectations for learning behaviors across each year group.</w:t>
            </w:r>
          </w:p>
          <w:p w14:paraId="54E91AE9" w14:textId="39ED399D" w:rsidR="00723B4C" w:rsidRPr="002906F5" w:rsidRDefault="00C63697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Early identification of needs through new PSHE Assessment tool, Boxall Profile, Mentoring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programme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etc</w:t>
            </w:r>
            <w:proofErr w:type="spellEnd"/>
          </w:p>
        </w:tc>
        <w:tc>
          <w:tcPr>
            <w:tcW w:w="1598" w:type="dxa"/>
            <w:vAlign w:val="center"/>
          </w:tcPr>
          <w:p w14:paraId="0DBA3E0E" w14:textId="77777777" w:rsidR="00723B4C" w:rsidRPr="002906F5" w:rsidRDefault="00723B4C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328" w:type="dxa"/>
            <w:vAlign w:val="center"/>
          </w:tcPr>
          <w:p w14:paraId="3CEB57A8" w14:textId="59E57A31" w:rsidR="00A9708F" w:rsidRPr="002906F5" w:rsidRDefault="00A9708F" w:rsidP="00723B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2B8EA731" w14:textId="77777777" w:rsidR="00723B4C" w:rsidRPr="002B736B" w:rsidRDefault="00723B4C" w:rsidP="00723B4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BF2646" w14:paraId="75D1ABDE" w14:textId="77777777" w:rsidTr="005624BB">
        <w:trPr>
          <w:trHeight w:val="136"/>
          <w:jc w:val="center"/>
        </w:trPr>
        <w:tc>
          <w:tcPr>
            <w:tcW w:w="7594" w:type="dxa"/>
            <w:gridSpan w:val="3"/>
            <w:shd w:val="clear" w:color="auto" w:fill="347186"/>
            <w:vAlign w:val="center"/>
          </w:tcPr>
          <w:p w14:paraId="1F71FD9D" w14:textId="77777777" w:rsidR="00F42E37" w:rsidRPr="00C07469" w:rsidRDefault="00F42E37" w:rsidP="00604058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579" w:type="dxa"/>
            <w:gridSpan w:val="3"/>
            <w:shd w:val="clear" w:color="auto" w:fill="FFFFFF" w:themeFill="background1"/>
            <w:vAlign w:val="center"/>
          </w:tcPr>
          <w:p w14:paraId="731B351E" w14:textId="5BA9E3F9" w:rsidR="00F42E37" w:rsidRPr="002B736B" w:rsidRDefault="00F42E37" w:rsidP="00604058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</w:t>
            </w:r>
            <w:r w:rsidR="00195C0D">
              <w:rPr>
                <w:rFonts w:ascii="Arial" w:eastAsiaTheme="minorEastAsia" w:hAnsi="Arial" w:cs="Arial"/>
                <w:b/>
                <w:lang w:val="en-US" w:eastAsia="ja-JP"/>
              </w:rPr>
              <w:t>1000</w:t>
            </w:r>
          </w:p>
        </w:tc>
      </w:tr>
    </w:tbl>
    <w:p w14:paraId="337EBAF8" w14:textId="07BB5A1D" w:rsidR="00F42E37" w:rsidRDefault="00F42E37" w:rsidP="0009745F">
      <w:pPr>
        <w:spacing w:after="120"/>
        <w:rPr>
          <w:rFonts w:ascii="Arial" w:hAnsi="Arial" w:cs="Arial"/>
          <w:b/>
          <w:sz w:val="32"/>
          <w:highlight w:val="yellow"/>
          <w:lang w:val="en-US" w:eastAsia="ja-JP"/>
        </w:rPr>
      </w:pPr>
    </w:p>
    <w:p w14:paraId="397CC4C1" w14:textId="2BFEFF64" w:rsidR="00F42E37" w:rsidRDefault="00F42E37" w:rsidP="0009745F">
      <w:pPr>
        <w:spacing w:after="120"/>
        <w:rPr>
          <w:rFonts w:ascii="Arial" w:hAnsi="Arial" w:cs="Arial"/>
          <w:b/>
          <w:sz w:val="28"/>
          <w:szCs w:val="20"/>
          <w:lang w:val="en-US" w:eastAsia="ja-JP"/>
        </w:rPr>
      </w:pPr>
      <w:r w:rsidRPr="00F42E37">
        <w:rPr>
          <w:rFonts w:ascii="Arial" w:hAnsi="Arial" w:cs="Arial"/>
          <w:b/>
          <w:sz w:val="28"/>
          <w:szCs w:val="20"/>
          <w:lang w:val="en-US" w:eastAsia="ja-JP"/>
        </w:rPr>
        <w:t>Wider s</w:t>
      </w:r>
      <w:r w:rsidR="00727AD4">
        <w:rPr>
          <w:rFonts w:ascii="Arial" w:hAnsi="Arial" w:cs="Arial"/>
          <w:b/>
          <w:sz w:val="28"/>
          <w:szCs w:val="20"/>
          <w:lang w:val="en-US" w:eastAsia="ja-JP"/>
        </w:rPr>
        <w:t>trategies</w:t>
      </w:r>
      <w:r w:rsidRPr="00F42E37">
        <w:rPr>
          <w:rFonts w:ascii="Arial" w:hAnsi="Arial" w:cs="Arial"/>
          <w:b/>
          <w:sz w:val="28"/>
          <w:szCs w:val="20"/>
          <w:lang w:val="en-US" w:eastAsia="ja-JP"/>
        </w:rPr>
        <w:t xml:space="preserve"> </w:t>
      </w:r>
    </w:p>
    <w:tbl>
      <w:tblPr>
        <w:tblStyle w:val="TableGrid"/>
        <w:tblW w:w="15037" w:type="dxa"/>
        <w:jc w:val="center"/>
        <w:tblLook w:val="04A0" w:firstRow="1" w:lastRow="0" w:firstColumn="1" w:lastColumn="0" w:noHBand="0" w:noVBand="1"/>
      </w:tblPr>
      <w:tblGrid>
        <w:gridCol w:w="1829"/>
        <w:gridCol w:w="2500"/>
        <w:gridCol w:w="3166"/>
        <w:gridCol w:w="1512"/>
        <w:gridCol w:w="2343"/>
        <w:gridCol w:w="3687"/>
      </w:tblGrid>
      <w:tr w:rsidR="00F42E37" w14:paraId="38714A35" w14:textId="77777777" w:rsidTr="004A1280">
        <w:trPr>
          <w:trHeight w:val="775"/>
          <w:jc w:val="center"/>
        </w:trPr>
        <w:tc>
          <w:tcPr>
            <w:tcW w:w="1829" w:type="dxa"/>
            <w:shd w:val="clear" w:color="auto" w:fill="347186"/>
            <w:vAlign w:val="center"/>
          </w:tcPr>
          <w:p w14:paraId="260851FC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500" w:type="dxa"/>
            <w:shd w:val="clear" w:color="auto" w:fill="347186"/>
            <w:vAlign w:val="center"/>
          </w:tcPr>
          <w:p w14:paraId="283DF854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166" w:type="dxa"/>
            <w:shd w:val="clear" w:color="auto" w:fill="347186"/>
            <w:vAlign w:val="center"/>
          </w:tcPr>
          <w:p w14:paraId="6C6C88CD" w14:textId="77777777" w:rsidR="00F42E37" w:rsidRPr="007B7FA8" w:rsidRDefault="00F42E37" w:rsidP="00604058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512" w:type="dxa"/>
            <w:shd w:val="clear" w:color="auto" w:fill="347186"/>
            <w:vAlign w:val="center"/>
          </w:tcPr>
          <w:p w14:paraId="1AC91BF5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343" w:type="dxa"/>
            <w:shd w:val="clear" w:color="auto" w:fill="347186"/>
            <w:vAlign w:val="center"/>
          </w:tcPr>
          <w:p w14:paraId="304246AB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7B7FA8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687" w:type="dxa"/>
            <w:shd w:val="clear" w:color="auto" w:fill="347186"/>
            <w:vAlign w:val="center"/>
          </w:tcPr>
          <w:p w14:paraId="799DDE97" w14:textId="77777777" w:rsidR="00F42E37" w:rsidRPr="007B7FA8" w:rsidRDefault="00F42E37" w:rsidP="0060405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490AD6" w14:paraId="2A4FC190" w14:textId="77777777" w:rsidTr="00BC65D0">
        <w:trPr>
          <w:trHeight w:val="699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6D3896C3" w14:textId="70B2A9EA" w:rsidR="00490AD6" w:rsidRPr="00F42E37" w:rsidRDefault="00490AD6" w:rsidP="00490AD6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Mental Health and Wellbeing of children, staff and families</w:t>
            </w:r>
          </w:p>
        </w:tc>
        <w:tc>
          <w:tcPr>
            <w:tcW w:w="2500" w:type="dxa"/>
            <w:vAlign w:val="center"/>
          </w:tcPr>
          <w:p w14:paraId="2EFCA9EE" w14:textId="28F63DA0" w:rsidR="00490AD6" w:rsidRPr="002906F5" w:rsidRDefault="00274732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the wider school community including parents understand the value of focus on MH&amp;WB </w:t>
            </w:r>
            <w:r w:rsidR="0007414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following the pandemic</w:t>
            </w:r>
          </w:p>
        </w:tc>
        <w:tc>
          <w:tcPr>
            <w:tcW w:w="3166" w:type="dxa"/>
            <w:vAlign w:val="center"/>
          </w:tcPr>
          <w:p w14:paraId="22BBB598" w14:textId="2DA04184" w:rsidR="0007414B" w:rsidRPr="002906F5" w:rsidRDefault="006E1661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Focus in Worship times</w:t>
            </w:r>
            <w:r w:rsidR="0007414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for children.</w:t>
            </w:r>
          </w:p>
          <w:p w14:paraId="77FE2F21" w14:textId="0273614A" w:rsidR="007848DB" w:rsidRPr="002906F5" w:rsidRDefault="007848DB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Engagement with families where we know children are struggling, referrals to outside agencies where appropriate.</w:t>
            </w:r>
          </w:p>
          <w:p w14:paraId="17A3E1A3" w14:textId="77777777" w:rsidR="00490AD6" w:rsidRPr="002906F5" w:rsidRDefault="0007414B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Focus in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newsletters </w:t>
            </w:r>
            <w:r w:rsidR="006E2F2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and on website </w:t>
            </w:r>
            <w:r w:rsidR="006E1661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for parents and wider community.</w:t>
            </w:r>
          </w:p>
          <w:p w14:paraId="33F774E7" w14:textId="77777777" w:rsidR="007848DB" w:rsidRDefault="006E2F2A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Staff questionnaire, regular staff check in’s, Inset day training,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etc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on staff wellbeing and workload.</w:t>
            </w:r>
          </w:p>
          <w:p w14:paraId="0CE5926C" w14:textId="77777777" w:rsidR="0089480F" w:rsidRDefault="0089480F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2E0FE94D" w14:textId="05FE9324" w:rsidR="0089480F" w:rsidRPr="002906F5" w:rsidRDefault="0089480F" w:rsidP="00490AD6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Creation of a sensory garden for reflection and thought</w:t>
            </w:r>
          </w:p>
        </w:tc>
        <w:tc>
          <w:tcPr>
            <w:tcW w:w="1512" w:type="dxa"/>
            <w:vAlign w:val="center"/>
          </w:tcPr>
          <w:p w14:paraId="337600A5" w14:textId="393FB45A" w:rsidR="00490AD6" w:rsidRPr="002906F5" w:rsidRDefault="00195C0D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£100</w:t>
            </w:r>
          </w:p>
        </w:tc>
        <w:tc>
          <w:tcPr>
            <w:tcW w:w="2343" w:type="dxa"/>
            <w:vAlign w:val="center"/>
          </w:tcPr>
          <w:p w14:paraId="51039355" w14:textId="580B6BEC" w:rsidR="0089480F" w:rsidRPr="002906F5" w:rsidRDefault="00195C0D" w:rsidP="006E2F2A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DP</w:t>
            </w:r>
          </w:p>
        </w:tc>
        <w:tc>
          <w:tcPr>
            <w:tcW w:w="3687" w:type="dxa"/>
            <w:vAlign w:val="center"/>
          </w:tcPr>
          <w:p w14:paraId="1137F21B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90AD6" w14:paraId="3D0D727B" w14:textId="77777777" w:rsidTr="00BC65D0">
        <w:trPr>
          <w:trHeight w:val="1825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112D6F2C" w14:textId="77777777" w:rsidR="00490AD6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Physical wellbeing</w:t>
            </w:r>
          </w:p>
          <w:p w14:paraId="170E9386" w14:textId="77777777" w:rsidR="00490AD6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53E396C" w14:textId="77777777" w:rsidR="00490AD6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0C17D4A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tc>
          <w:tcPr>
            <w:tcW w:w="2500" w:type="dxa"/>
            <w:vAlign w:val="center"/>
          </w:tcPr>
          <w:p w14:paraId="29F060C4" w14:textId="5C213A48" w:rsidR="00490AD6" w:rsidRPr="002906F5" w:rsidRDefault="00B52EB8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extended school </w:t>
            </w:r>
            <w:r w:rsidR="000E3B0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offer supports all children, but especially those who do not have other access to physical clubs </w:t>
            </w:r>
            <w:r w:rsidR="00815F2A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outside of school.</w:t>
            </w:r>
          </w:p>
        </w:tc>
        <w:tc>
          <w:tcPr>
            <w:tcW w:w="3166" w:type="dxa"/>
            <w:vAlign w:val="center"/>
          </w:tcPr>
          <w:p w14:paraId="65C00039" w14:textId="77777777" w:rsidR="00490AD6" w:rsidRPr="002906F5" w:rsidRDefault="00815F2A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Ensure a wide range of clubs is on offer across the year, led by fully trained Sports Coach.</w:t>
            </w:r>
          </w:p>
          <w:p w14:paraId="05BD13BA" w14:textId="304C01D4" w:rsidR="00815F2A" w:rsidRPr="002906F5" w:rsidRDefault="002C788C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Engagement with families where we </w:t>
            </w:r>
            <w:r w:rsidR="007848D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know children are struggling, referrals to outside agencies where appropriate</w:t>
            </w:r>
            <w:r w:rsidR="00A7648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, including support from the School Nurse.</w:t>
            </w:r>
          </w:p>
        </w:tc>
        <w:tc>
          <w:tcPr>
            <w:tcW w:w="1512" w:type="dxa"/>
            <w:vAlign w:val="center"/>
          </w:tcPr>
          <w:p w14:paraId="41AA75DA" w14:textId="57D404A5" w:rsidR="00490AD6" w:rsidRPr="002906F5" w:rsidRDefault="00195C0D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£100</w:t>
            </w:r>
          </w:p>
        </w:tc>
        <w:tc>
          <w:tcPr>
            <w:tcW w:w="2343" w:type="dxa"/>
            <w:vAlign w:val="center"/>
          </w:tcPr>
          <w:p w14:paraId="4377F746" w14:textId="098A22C6" w:rsidR="00265410" w:rsidRPr="002906F5" w:rsidRDefault="00195C0D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NP</w:t>
            </w:r>
          </w:p>
        </w:tc>
        <w:tc>
          <w:tcPr>
            <w:tcW w:w="3687" w:type="dxa"/>
            <w:vAlign w:val="center"/>
          </w:tcPr>
          <w:p w14:paraId="6C56126B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90AD6" w14:paraId="154D456B" w14:textId="77777777" w:rsidTr="00BC65D0">
        <w:trPr>
          <w:trHeight w:val="1837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47EDA9D5" w14:textId="5F2DB17C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Phonics and Early Reading skills</w:t>
            </w:r>
          </w:p>
        </w:tc>
        <w:tc>
          <w:tcPr>
            <w:tcW w:w="2500" w:type="dxa"/>
            <w:vAlign w:val="center"/>
          </w:tcPr>
          <w:p w14:paraId="03991F5B" w14:textId="2A3257A2" w:rsidR="00490AD6" w:rsidRPr="002906F5" w:rsidRDefault="00E07493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</w:t>
            </w:r>
            <w:r w:rsidR="00CB56EB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parents and other stakeholders are fully aware of how we teach phonics and early reading across the school.</w:t>
            </w:r>
          </w:p>
        </w:tc>
        <w:tc>
          <w:tcPr>
            <w:tcW w:w="3166" w:type="dxa"/>
            <w:vAlign w:val="center"/>
          </w:tcPr>
          <w:p w14:paraId="383367FB" w14:textId="77777777" w:rsidR="00A86357" w:rsidRPr="002906F5" w:rsidRDefault="00C4114F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Introduction of Devon Library service to ensure a</w:t>
            </w:r>
            <w:r w:rsidR="009A3F1E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wide range of high quality texts are available and rotated termly for </w:t>
            </w:r>
            <w:r w:rsidR="00A86357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each year group.</w:t>
            </w:r>
          </w:p>
          <w:p w14:paraId="06872C27" w14:textId="645BFE30" w:rsidR="007B04B3" w:rsidRPr="002906F5" w:rsidRDefault="00CB56EB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Set up Parent </w:t>
            </w:r>
            <w:proofErr w:type="spellStart"/>
            <w:r w:rsidR="007B04B3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Powerpoints</w:t>
            </w:r>
            <w:proofErr w:type="spellEnd"/>
            <w:r w:rsidR="007B04B3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for each year group, explaining how we teach phonics in each year group</w:t>
            </w:r>
            <w:r w:rsidR="004A3126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aimed at parents and support staff.</w:t>
            </w:r>
          </w:p>
          <w:p w14:paraId="4F10ABC9" w14:textId="088F6D1F" w:rsidR="00490AD6" w:rsidRPr="002906F5" w:rsidRDefault="004B5D0B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</w:t>
            </w:r>
            <w:r w:rsidR="00BC65D0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that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books sent home are aligned to the schools Phonics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programme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and so pupils can successfully apply their skills in segmenting and blending whilst sustaining some fluency in their reading.</w:t>
            </w:r>
          </w:p>
          <w:p w14:paraId="36A9F2C6" w14:textId="77777777" w:rsidR="004A3126" w:rsidRPr="002906F5" w:rsidRDefault="004A3126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Involve parents in individual targeted support where appropriate</w:t>
            </w:r>
            <w:r w:rsidR="00021309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.</w:t>
            </w:r>
          </w:p>
          <w:p w14:paraId="2454AAC5" w14:textId="7C070804" w:rsidR="00021309" w:rsidRPr="002906F5" w:rsidRDefault="00021309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Use of My Bug Club online lessons to support parents with phonics </w:t>
            </w:r>
            <w:r w:rsidR="007A6198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skills.</w:t>
            </w:r>
          </w:p>
        </w:tc>
        <w:tc>
          <w:tcPr>
            <w:tcW w:w="1512" w:type="dxa"/>
            <w:vAlign w:val="center"/>
          </w:tcPr>
          <w:p w14:paraId="6EC638AE" w14:textId="77777777" w:rsidR="00490AD6" w:rsidRPr="002906F5" w:rsidRDefault="00A86357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lastRenderedPageBreak/>
              <w:t>Devon Library service</w:t>
            </w:r>
          </w:p>
          <w:p w14:paraId="0AB40D22" w14:textId="77777777" w:rsidR="00B57DEA" w:rsidRPr="002906F5" w:rsidRDefault="00B57DEA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  <w:p w14:paraId="5F2810B2" w14:textId="6B715FCA" w:rsidR="00B57DEA" w:rsidRPr="002906F5" w:rsidRDefault="00B57DEA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Phonetically decodable books</w:t>
            </w:r>
          </w:p>
        </w:tc>
        <w:tc>
          <w:tcPr>
            <w:tcW w:w="2343" w:type="dxa"/>
            <w:vAlign w:val="center"/>
          </w:tcPr>
          <w:p w14:paraId="1F15614C" w14:textId="1ADEB44F" w:rsidR="00B57DEA" w:rsidRPr="002906F5" w:rsidRDefault="00195C0D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HW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24251EA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90AD6" w14:paraId="70C0BC98" w14:textId="77777777" w:rsidTr="00BC65D0">
        <w:trPr>
          <w:trHeight w:val="1837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7EFAA8FB" w14:textId="76FEC64C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Development of Early Mathematical skills</w:t>
            </w:r>
          </w:p>
        </w:tc>
        <w:tc>
          <w:tcPr>
            <w:tcW w:w="2500" w:type="dxa"/>
            <w:vAlign w:val="center"/>
          </w:tcPr>
          <w:p w14:paraId="71319307" w14:textId="2F033E2E" w:rsidR="00490AD6" w:rsidRPr="002906F5" w:rsidRDefault="007475D3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Ensure that parents and other stakeholders are fully aware of how we teach mathematics across the school.</w:t>
            </w:r>
          </w:p>
        </w:tc>
        <w:tc>
          <w:tcPr>
            <w:tcW w:w="3166" w:type="dxa"/>
            <w:vAlign w:val="center"/>
          </w:tcPr>
          <w:p w14:paraId="667CE08E" w14:textId="77777777" w:rsidR="00490AD6" w:rsidRPr="002906F5" w:rsidRDefault="007475D3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Involve parents in individual targeted support where appropriate.</w:t>
            </w:r>
          </w:p>
          <w:p w14:paraId="15E25879" w14:textId="328B09DB" w:rsidR="007475D3" w:rsidRPr="002906F5" w:rsidRDefault="007475D3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512" w:type="dxa"/>
            <w:vAlign w:val="center"/>
          </w:tcPr>
          <w:p w14:paraId="2768E736" w14:textId="29F2A9B5" w:rsidR="00490AD6" w:rsidRPr="002906F5" w:rsidRDefault="004B3A7C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123 Learning intervention books £69</w:t>
            </w:r>
          </w:p>
        </w:tc>
        <w:tc>
          <w:tcPr>
            <w:tcW w:w="2343" w:type="dxa"/>
            <w:vAlign w:val="center"/>
          </w:tcPr>
          <w:p w14:paraId="7FA524DE" w14:textId="77777777" w:rsidR="004B3A7C" w:rsidRDefault="004B3A7C" w:rsidP="00006E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DP</w:t>
            </w:r>
          </w:p>
          <w:p w14:paraId="7E7AC081" w14:textId="4F836ACD" w:rsidR="004B3A7C" w:rsidRPr="002906F5" w:rsidRDefault="004B3A7C" w:rsidP="00006E4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Class teachers/ TAs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67E74201" w14:textId="77777777" w:rsidR="004B3A7C" w:rsidRDefault="004B3A7C" w:rsidP="004B3A7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Power of 1</w:t>
            </w:r>
          </w:p>
          <w:p w14:paraId="2DDC0CA3" w14:textId="77777777" w:rsidR="004B3A7C" w:rsidRDefault="004B3A7C" w:rsidP="004B3A7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Plus 2</w:t>
            </w:r>
          </w:p>
          <w:p w14:paraId="6DDD8EBF" w14:textId="77777777" w:rsidR="004B3A7C" w:rsidRDefault="004B3A7C" w:rsidP="004B3A7C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Perform with Times Tables</w:t>
            </w:r>
          </w:p>
          <w:p w14:paraId="4638166A" w14:textId="67BA24CE" w:rsidR="00490AD6" w:rsidRPr="002B736B" w:rsidRDefault="004B3A7C" w:rsidP="004B3A7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Perform with Time</w:t>
            </w:r>
          </w:p>
        </w:tc>
      </w:tr>
      <w:tr w:rsidR="00490AD6" w14:paraId="57F0D6D7" w14:textId="77777777" w:rsidTr="00BC65D0">
        <w:trPr>
          <w:trHeight w:val="1837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06FD7A24" w14:textId="270A532A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Develop presentation skills across the school including fine motor skills</w:t>
            </w:r>
          </w:p>
        </w:tc>
        <w:tc>
          <w:tcPr>
            <w:tcW w:w="2500" w:type="dxa"/>
            <w:vAlign w:val="center"/>
          </w:tcPr>
          <w:p w14:paraId="45436A41" w14:textId="5820C70A" w:rsidR="00490AD6" w:rsidRPr="002906F5" w:rsidRDefault="00EE0880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parents and other stakeholders </w:t>
            </w:r>
            <w:r w:rsidR="007A031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have increased knowledge</w:t>
            </w: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of our </w:t>
            </w:r>
            <w:r w:rsidR="007A0312"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handwriting policy across the school.</w:t>
            </w:r>
          </w:p>
        </w:tc>
        <w:tc>
          <w:tcPr>
            <w:tcW w:w="3166" w:type="dxa"/>
            <w:vAlign w:val="center"/>
          </w:tcPr>
          <w:p w14:paraId="2AF0EAAF" w14:textId="1A74C479" w:rsidR="00490AD6" w:rsidRPr="002906F5" w:rsidRDefault="008E6086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Engagement with parents to be increased ar</w:t>
            </w:r>
            <w:r w:rsidR="005714B6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ound our handwriting scheme.</w:t>
            </w:r>
          </w:p>
          <w:p w14:paraId="46501BC6" w14:textId="6B7C1C1D" w:rsidR="008E6086" w:rsidRPr="002906F5" w:rsidRDefault="009854D5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Engagement with families where we know children are struggling, referrals to outside agencies where appropriate, including support from Occupational Therapy.</w:t>
            </w:r>
          </w:p>
        </w:tc>
        <w:tc>
          <w:tcPr>
            <w:tcW w:w="1512" w:type="dxa"/>
            <w:vAlign w:val="center"/>
          </w:tcPr>
          <w:p w14:paraId="0A4664CF" w14:textId="12FD7312" w:rsidR="00490AD6" w:rsidRPr="002906F5" w:rsidRDefault="004B3A7C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Handwriting scheme</w:t>
            </w:r>
            <w:r w:rsidR="008B1752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– Nelson £92.25</w:t>
            </w:r>
          </w:p>
        </w:tc>
        <w:tc>
          <w:tcPr>
            <w:tcW w:w="2343" w:type="dxa"/>
            <w:vAlign w:val="center"/>
          </w:tcPr>
          <w:p w14:paraId="45FF48D3" w14:textId="77777777" w:rsidR="008B1752" w:rsidRDefault="008B1752" w:rsidP="008B175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DP</w:t>
            </w:r>
          </w:p>
          <w:p w14:paraId="4995FF90" w14:textId="6D99AEF3" w:rsidR="00490AD6" w:rsidRPr="002906F5" w:rsidRDefault="008B1752" w:rsidP="008B1752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Class teachers/ TAs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A7A1127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90AD6" w14:paraId="35A48A2F" w14:textId="77777777" w:rsidTr="00BC65D0">
        <w:trPr>
          <w:trHeight w:val="1837"/>
          <w:jc w:val="center"/>
        </w:trPr>
        <w:tc>
          <w:tcPr>
            <w:tcW w:w="1829" w:type="dxa"/>
            <w:shd w:val="clear" w:color="auto" w:fill="FFFFFF" w:themeFill="background1"/>
            <w:vAlign w:val="center"/>
          </w:tcPr>
          <w:p w14:paraId="4C973166" w14:textId="767BAB16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Development of </w:t>
            </w:r>
            <w:proofErr w:type="spellStart"/>
            <w:r>
              <w:rPr>
                <w:rFonts w:ascii="Arial" w:eastAsiaTheme="minorEastAsia" w:hAnsi="Arial" w:cs="Arial"/>
                <w:b/>
                <w:lang w:val="en-US" w:eastAsia="ja-JP"/>
              </w:rPr>
              <w:t>behaviour</w:t>
            </w:r>
            <w:proofErr w:type="spellEnd"/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for learning</w:t>
            </w:r>
          </w:p>
        </w:tc>
        <w:tc>
          <w:tcPr>
            <w:tcW w:w="2500" w:type="dxa"/>
            <w:vAlign w:val="center"/>
          </w:tcPr>
          <w:p w14:paraId="5F4EFC7B" w14:textId="2BC2D769" w:rsidR="00490AD6" w:rsidRPr="002906F5" w:rsidRDefault="00A9708F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Ensure that parents and other stakeholders have increased knowledge on how </w:t>
            </w:r>
            <w:proofErr w:type="spellStart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behaviours</w:t>
            </w:r>
            <w:proofErr w:type="spellEnd"/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 xml:space="preserve"> for learning expectations across the school.</w:t>
            </w:r>
          </w:p>
        </w:tc>
        <w:tc>
          <w:tcPr>
            <w:tcW w:w="3166" w:type="dxa"/>
            <w:vAlign w:val="center"/>
          </w:tcPr>
          <w:p w14:paraId="15F1A32C" w14:textId="77777777" w:rsidR="00A9708F" w:rsidRPr="002906F5" w:rsidRDefault="00A9708F" w:rsidP="00A9708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Focus in Worship times for children.</w:t>
            </w:r>
          </w:p>
          <w:p w14:paraId="720D9BEF" w14:textId="77777777" w:rsidR="00A9708F" w:rsidRPr="002906F5" w:rsidRDefault="00A9708F" w:rsidP="00A9708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Engagement with families where we know children are struggling, referrals to outside agencies where appropriate.</w:t>
            </w:r>
          </w:p>
          <w:p w14:paraId="0F240E92" w14:textId="77777777" w:rsidR="00A9708F" w:rsidRPr="002906F5" w:rsidRDefault="00A9708F" w:rsidP="00A9708F">
            <w:pPr>
              <w:spacing w:before="120" w:after="120"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 w:rsidRPr="002906F5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Focus in newsletters and on website for parents and wider community.</w:t>
            </w:r>
          </w:p>
          <w:p w14:paraId="7438E022" w14:textId="77777777" w:rsidR="00490AD6" w:rsidRPr="002906F5" w:rsidRDefault="00490AD6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1512" w:type="dxa"/>
            <w:vAlign w:val="center"/>
          </w:tcPr>
          <w:p w14:paraId="44FB764E" w14:textId="77777777" w:rsidR="00490AD6" w:rsidRPr="002906F5" w:rsidRDefault="00490AD6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343" w:type="dxa"/>
            <w:vAlign w:val="center"/>
          </w:tcPr>
          <w:p w14:paraId="7DF67536" w14:textId="57228674" w:rsidR="00A9708F" w:rsidRPr="002906F5" w:rsidRDefault="00FD2E33" w:rsidP="00490AD6">
            <w:pPr>
              <w:spacing w:before="120" w:after="120"/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DP</w:t>
            </w:r>
            <w:r w:rsidR="00195C0D">
              <w:rPr>
                <w:rFonts w:ascii="Arial" w:eastAsiaTheme="minorEastAsia" w:hAnsi="Arial" w:cs="Arial"/>
                <w:bCs/>
                <w:sz w:val="20"/>
                <w:szCs w:val="20"/>
                <w:lang w:val="en-US" w:eastAsia="ja-JP"/>
              </w:rPr>
              <w:t>/ all staff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2FB8184" w14:textId="77777777" w:rsidR="00490AD6" w:rsidRPr="002B736B" w:rsidRDefault="00490AD6" w:rsidP="00490AD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42E37" w14:paraId="15D768F6" w14:textId="77777777" w:rsidTr="004A1280">
        <w:trPr>
          <w:trHeight w:val="136"/>
          <w:jc w:val="center"/>
        </w:trPr>
        <w:tc>
          <w:tcPr>
            <w:tcW w:w="7495" w:type="dxa"/>
            <w:gridSpan w:val="3"/>
            <w:shd w:val="clear" w:color="auto" w:fill="347186"/>
            <w:vAlign w:val="center"/>
          </w:tcPr>
          <w:p w14:paraId="506CD151" w14:textId="77777777" w:rsidR="00F42E37" w:rsidRPr="00C07469" w:rsidRDefault="00F42E37" w:rsidP="00604058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542" w:type="dxa"/>
            <w:gridSpan w:val="3"/>
            <w:shd w:val="clear" w:color="auto" w:fill="FFFFFF" w:themeFill="background1"/>
            <w:vAlign w:val="center"/>
          </w:tcPr>
          <w:p w14:paraId="79A6FA25" w14:textId="20FCD5D4" w:rsidR="00F42E37" w:rsidRPr="002B736B" w:rsidRDefault="00F42E37" w:rsidP="00604058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</w:t>
            </w:r>
            <w:r w:rsidR="00195C0D">
              <w:rPr>
                <w:rFonts w:ascii="Arial" w:eastAsiaTheme="minorEastAsia" w:hAnsi="Arial" w:cs="Arial"/>
                <w:b/>
                <w:lang w:val="en-US" w:eastAsia="ja-JP"/>
              </w:rPr>
              <w:t>1320</w:t>
            </w:r>
          </w:p>
        </w:tc>
      </w:tr>
    </w:tbl>
    <w:p w14:paraId="0F46B131" w14:textId="77777777" w:rsidR="00F42E37" w:rsidRPr="00F42E37" w:rsidRDefault="00F42E37" w:rsidP="0009745F">
      <w:pPr>
        <w:spacing w:after="120"/>
        <w:rPr>
          <w:rFonts w:ascii="Arial" w:hAnsi="Arial" w:cs="Arial"/>
          <w:b/>
          <w:sz w:val="32"/>
          <w:lang w:val="en-US" w:eastAsia="ja-JP"/>
        </w:rPr>
      </w:pPr>
    </w:p>
    <w:p w14:paraId="38C9E6FA" w14:textId="7C56824C" w:rsidR="005D2D5A" w:rsidRDefault="00D655E3" w:rsidP="00ED2F27">
      <w:pPr>
        <w:spacing w:after="120"/>
        <w:rPr>
          <w:rFonts w:ascii="Arial" w:eastAsiaTheme="minorEastAsia" w:hAnsi="Arial" w:cs="Arial"/>
          <w:b/>
          <w:lang w:val="en-US" w:eastAsia="ja-JP"/>
        </w:rPr>
      </w:pPr>
      <w:r w:rsidRPr="00F42E37">
        <w:rPr>
          <w:rFonts w:ascii="Arial" w:hAnsi="Arial" w:cs="Arial"/>
          <w:b/>
          <w:sz w:val="28"/>
          <w:szCs w:val="20"/>
          <w:lang w:val="en-US" w:eastAsia="ja-JP"/>
        </w:rPr>
        <w:t xml:space="preserve">Summary </w:t>
      </w:r>
      <w:r w:rsidR="00F42E37">
        <w:rPr>
          <w:rFonts w:ascii="Arial" w:hAnsi="Arial" w:cs="Arial"/>
          <w:b/>
          <w:sz w:val="28"/>
          <w:szCs w:val="20"/>
          <w:lang w:val="en-US" w:eastAsia="ja-JP"/>
        </w:rPr>
        <w:t>report</w:t>
      </w:r>
    </w:p>
    <w:tbl>
      <w:tblPr>
        <w:tblStyle w:val="TableGrid"/>
        <w:tblW w:w="13936" w:type="dxa"/>
        <w:jc w:val="center"/>
        <w:tblLook w:val="04A0" w:firstRow="1" w:lastRow="0" w:firstColumn="1" w:lastColumn="0" w:noHBand="0" w:noVBand="1"/>
      </w:tblPr>
      <w:tblGrid>
        <w:gridCol w:w="6658"/>
        <w:gridCol w:w="7278"/>
      </w:tblGrid>
      <w:tr w:rsidR="00F42E37" w14:paraId="5616609E" w14:textId="77777777" w:rsidTr="00F42E37">
        <w:trPr>
          <w:jc w:val="center"/>
        </w:trPr>
        <w:tc>
          <w:tcPr>
            <w:tcW w:w="13936" w:type="dxa"/>
            <w:gridSpan w:val="2"/>
            <w:shd w:val="clear" w:color="auto" w:fill="347186"/>
          </w:tcPr>
          <w:p w14:paraId="6728F36D" w14:textId="7CBA732C" w:rsidR="00F42E37" w:rsidRPr="00F42E37" w:rsidRDefault="00F42E37" w:rsidP="006C558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What is the overall impact of spending? </w:t>
            </w:r>
          </w:p>
        </w:tc>
      </w:tr>
      <w:tr w:rsidR="00F42E37" w14:paraId="0D65A82D" w14:textId="77777777" w:rsidTr="00F42E37">
        <w:trPr>
          <w:trHeight w:val="419"/>
          <w:jc w:val="center"/>
        </w:trPr>
        <w:tc>
          <w:tcPr>
            <w:tcW w:w="13936" w:type="dxa"/>
            <w:gridSpan w:val="2"/>
          </w:tcPr>
          <w:p w14:paraId="47366C04" w14:textId="77777777" w:rsidR="00F42E37" w:rsidRPr="00397A2F" w:rsidRDefault="00F42E37" w:rsidP="00397A2F">
            <w:pPr>
              <w:rPr>
                <w:rFonts w:ascii="Arial" w:eastAsiaTheme="minorEastAsia" w:hAnsi="Arial" w:cs="Arial"/>
                <w:lang w:val="en-US" w:eastAsia="ja-JP"/>
              </w:rPr>
            </w:pPr>
          </w:p>
          <w:p w14:paraId="6D6389B5" w14:textId="0C7AD50F" w:rsidR="00F42E37" w:rsidRPr="00D655E3" w:rsidRDefault="00ED2F27">
            <w:pPr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Spending is allo</w:t>
            </w:r>
            <w:r w:rsidR="004A0D18">
              <w:rPr>
                <w:rFonts w:ascii="Arial" w:eastAsiaTheme="minorEastAsia" w:hAnsi="Arial" w:cs="Arial"/>
                <w:lang w:val="en-US" w:eastAsia="ja-JP"/>
              </w:rPr>
              <w:t>cated to staffing interventions</w:t>
            </w:r>
            <w:r>
              <w:rPr>
                <w:rFonts w:ascii="Arial" w:eastAsiaTheme="minorEastAsia" w:hAnsi="Arial" w:cs="Arial"/>
                <w:lang w:val="en-US" w:eastAsia="ja-JP"/>
              </w:rPr>
              <w:t xml:space="preserve">. </w:t>
            </w:r>
            <w:r w:rsidR="003E3711">
              <w:rPr>
                <w:rFonts w:ascii="Arial" w:eastAsiaTheme="minorEastAsia" w:hAnsi="Arial" w:cs="Arial"/>
                <w:lang w:val="en-US" w:eastAsia="ja-JP"/>
              </w:rPr>
              <w:t>Records of sessions taught evidence the focus and scope of interventions.</w:t>
            </w:r>
          </w:p>
          <w:p w14:paraId="24CAD1CA" w14:textId="00040846" w:rsidR="00F42E37" w:rsidRDefault="00ED2F27" w:rsidP="00D655E3">
            <w:pPr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Pupil progress records measure impact.</w:t>
            </w:r>
          </w:p>
          <w:p w14:paraId="001E059F" w14:textId="1ACA5CA9" w:rsidR="00F42E37" w:rsidRDefault="00F42E37" w:rsidP="00D655E3">
            <w:pPr>
              <w:rPr>
                <w:rFonts w:ascii="Arial" w:eastAsiaTheme="minorEastAsia" w:hAnsi="Arial" w:cs="Arial"/>
                <w:lang w:val="en-US" w:eastAsia="ja-JP"/>
              </w:rPr>
            </w:pPr>
          </w:p>
          <w:p w14:paraId="60518634" w14:textId="329653B4" w:rsidR="00F42E37" w:rsidRPr="00397A2F" w:rsidRDefault="00F42E37" w:rsidP="00397A2F">
            <w:pPr>
              <w:tabs>
                <w:tab w:val="left" w:pos="2177"/>
              </w:tabs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ab/>
            </w:r>
          </w:p>
        </w:tc>
      </w:tr>
      <w:tr w:rsidR="00F42E37" w14:paraId="05259674" w14:textId="77777777" w:rsidTr="00F42E37">
        <w:trPr>
          <w:trHeight w:val="391"/>
          <w:jc w:val="center"/>
        </w:trPr>
        <w:tc>
          <w:tcPr>
            <w:tcW w:w="13936" w:type="dxa"/>
            <w:gridSpan w:val="2"/>
            <w:shd w:val="clear" w:color="auto" w:fill="367188"/>
          </w:tcPr>
          <w:p w14:paraId="0FF17F5F" w14:textId="773DF9B0" w:rsidR="00F42E37" w:rsidRPr="00F42E37" w:rsidRDefault="00F42E37" w:rsidP="00F42E3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F42E37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How will changes be communicated to parents and stakeholders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?</w:t>
            </w:r>
          </w:p>
        </w:tc>
      </w:tr>
      <w:tr w:rsidR="00F42E37" w14:paraId="435A086C" w14:textId="77777777" w:rsidTr="00F42E37">
        <w:trPr>
          <w:trHeight w:val="1692"/>
          <w:jc w:val="center"/>
        </w:trPr>
        <w:tc>
          <w:tcPr>
            <w:tcW w:w="13936" w:type="dxa"/>
            <w:gridSpan w:val="2"/>
          </w:tcPr>
          <w:p w14:paraId="5623AF62" w14:textId="77777777" w:rsidR="00F42E37" w:rsidRDefault="00ED2F27" w:rsidP="00ED2F27">
            <w:pPr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Pupil conferencing and parent consultations.</w:t>
            </w:r>
          </w:p>
          <w:p w14:paraId="22C59C99" w14:textId="5F4C4E87" w:rsidR="00195C0D" w:rsidRDefault="00195C0D" w:rsidP="00ED2F27">
            <w:pPr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Catch up statement and plan published online.</w:t>
            </w:r>
          </w:p>
          <w:p w14:paraId="0D6D8616" w14:textId="393B215C" w:rsidR="003E3711" w:rsidRDefault="003E3711" w:rsidP="00ED2F27">
            <w:pPr>
              <w:rPr>
                <w:rFonts w:ascii="Arial" w:eastAsiaTheme="minorEastAsia" w:hAnsi="Arial" w:cs="Arial"/>
                <w:lang w:val="en-US" w:eastAsia="ja-JP"/>
              </w:rPr>
            </w:pPr>
            <w:r>
              <w:rPr>
                <w:rFonts w:ascii="Arial" w:eastAsiaTheme="minorEastAsia" w:hAnsi="Arial" w:cs="Arial"/>
                <w:lang w:val="en-US" w:eastAsia="ja-JP"/>
              </w:rPr>
              <w:t>Updates in weekly newsletter hosted on school website.</w:t>
            </w:r>
          </w:p>
          <w:p w14:paraId="571FFFC6" w14:textId="77777777" w:rsidR="00195C0D" w:rsidRDefault="00195C0D" w:rsidP="00195C0D">
            <w:pPr>
              <w:rPr>
                <w:rFonts w:ascii="Arial" w:eastAsiaTheme="minorEastAsia" w:hAnsi="Arial" w:cs="Arial"/>
                <w:lang w:val="en-US" w:eastAsia="ja-JP"/>
              </w:rPr>
            </w:pPr>
          </w:p>
          <w:p w14:paraId="5262A438" w14:textId="1215530E" w:rsidR="00195C0D" w:rsidRPr="00195C0D" w:rsidRDefault="00195C0D" w:rsidP="00195C0D">
            <w:pPr>
              <w:rPr>
                <w:rFonts w:ascii="Arial" w:eastAsiaTheme="minorEastAsia" w:hAnsi="Arial" w:cs="Arial"/>
                <w:lang w:val="en-US" w:eastAsia="ja-JP"/>
              </w:rPr>
            </w:pPr>
          </w:p>
        </w:tc>
        <w:bookmarkStart w:id="3" w:name="_GoBack"/>
        <w:bookmarkEnd w:id="3"/>
      </w:tr>
      <w:tr w:rsidR="00F42E37" w14:paraId="05308BA7" w14:textId="77777777" w:rsidTr="00F42E37">
        <w:trPr>
          <w:trHeight w:val="522"/>
          <w:jc w:val="center"/>
        </w:trPr>
        <w:tc>
          <w:tcPr>
            <w:tcW w:w="13936" w:type="dxa"/>
            <w:gridSpan w:val="2"/>
            <w:shd w:val="clear" w:color="auto" w:fill="367188"/>
          </w:tcPr>
          <w:p w14:paraId="75B3938D" w14:textId="5A580C79" w:rsidR="00F42E37" w:rsidRPr="00F42E37" w:rsidRDefault="00F42E37" w:rsidP="00F42E3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Final comments</w:t>
            </w:r>
          </w:p>
        </w:tc>
      </w:tr>
      <w:tr w:rsidR="00F42E37" w14:paraId="52EA5A3A" w14:textId="77777777" w:rsidTr="00F42E37">
        <w:trPr>
          <w:trHeight w:val="1692"/>
          <w:jc w:val="center"/>
        </w:trPr>
        <w:tc>
          <w:tcPr>
            <w:tcW w:w="13936" w:type="dxa"/>
            <w:gridSpan w:val="2"/>
          </w:tcPr>
          <w:p w14:paraId="2DD4AC7F" w14:textId="77777777" w:rsidR="00F42E37" w:rsidRDefault="00F42E37" w:rsidP="006C5587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F42E37" w14:paraId="7E80D933" w14:textId="77777777" w:rsidTr="00F42E37">
        <w:trPr>
          <w:trHeight w:val="426"/>
          <w:jc w:val="center"/>
        </w:trPr>
        <w:tc>
          <w:tcPr>
            <w:tcW w:w="6658" w:type="dxa"/>
            <w:shd w:val="clear" w:color="auto" w:fill="367188"/>
          </w:tcPr>
          <w:p w14:paraId="74ADDAC4" w14:textId="030C8BD4" w:rsidR="00F42E37" w:rsidRPr="00F42E37" w:rsidRDefault="00F42E37" w:rsidP="00F42E37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F42E37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Final spend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7278" w:type="dxa"/>
          </w:tcPr>
          <w:p w14:paraId="72F6BB6A" w14:textId="15D3FE00" w:rsidR="00F42E37" w:rsidRDefault="00F42E37" w:rsidP="004A0D18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</w:t>
            </w:r>
            <w:r w:rsidR="004A0D18">
              <w:rPr>
                <w:rFonts w:ascii="Arial" w:eastAsiaTheme="minorEastAsia" w:hAnsi="Arial" w:cs="Arial"/>
                <w:b/>
                <w:lang w:val="en-US" w:eastAsia="ja-JP"/>
              </w:rPr>
              <w:t>11680</w:t>
            </w:r>
          </w:p>
        </w:tc>
      </w:tr>
    </w:tbl>
    <w:p w14:paraId="5C5BA4A6" w14:textId="77777777" w:rsidR="005D2D5A" w:rsidRDefault="005D2D5A" w:rsidP="00C51C82">
      <w:pPr>
        <w:rPr>
          <w:rFonts w:ascii="Arial" w:eastAsiaTheme="minorEastAsia" w:hAnsi="Arial" w:cs="Arial"/>
          <w:b/>
          <w:lang w:val="en-US" w:eastAsia="ja-JP"/>
        </w:rPr>
      </w:pPr>
    </w:p>
    <w:sectPr w:rsidR="005D2D5A" w:rsidSect="00EE4A72">
      <w:headerReference w:type="first" r:id="rId10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8E09" w14:textId="77777777" w:rsidR="007A7EE6" w:rsidRDefault="007A7EE6">
      <w:pPr>
        <w:spacing w:after="0" w:line="240" w:lineRule="auto"/>
      </w:pPr>
      <w:r>
        <w:separator/>
      </w:r>
    </w:p>
  </w:endnote>
  <w:endnote w:type="continuationSeparator" w:id="0">
    <w:p w14:paraId="0BFC95E5" w14:textId="77777777" w:rsidR="007A7EE6" w:rsidRDefault="007A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95C7" w14:textId="77777777" w:rsidR="007A7EE6" w:rsidRDefault="007A7EE6">
      <w:pPr>
        <w:spacing w:after="0" w:line="240" w:lineRule="auto"/>
      </w:pPr>
      <w:r>
        <w:separator/>
      </w:r>
    </w:p>
  </w:footnote>
  <w:footnote w:type="continuationSeparator" w:id="0">
    <w:p w14:paraId="62D5B6F0" w14:textId="77777777" w:rsidR="007A7EE6" w:rsidRDefault="007A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7BA5" w14:textId="0A947EC3" w:rsidR="00EE4A72" w:rsidRDefault="00CC4122" w:rsidP="00195C0D">
    <w:pPr>
      <w:pStyle w:val="Header"/>
      <w:tabs>
        <w:tab w:val="clear" w:pos="9026"/>
        <w:tab w:val="left" w:pos="7896"/>
      </w:tabs>
      <w:jc w:val="both"/>
    </w:pPr>
    <w:r>
      <w:rPr>
        <w:noProof/>
        <w:lang w:eastAsia="en-GB"/>
      </w:rPr>
      <w:drawing>
        <wp:inline distT="0" distB="0" distL="0" distR="0" wp14:anchorId="7CC4A0C3" wp14:editId="3E24192A">
          <wp:extent cx="1333500" cy="1333500"/>
          <wp:effectExtent l="0" t="0" r="0" b="0"/>
          <wp:docPr id="1" name="Picture 1" descr="Chagford Church of England Primary School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gford Church of England Primary School -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C0D">
      <w:t xml:space="preserve"> </w:t>
    </w:r>
    <w:r w:rsidR="00195C0D">
      <w:rPr>
        <w:noProof/>
        <w:lang w:eastAsia="en-GB"/>
      </w:rPr>
      <w:drawing>
        <wp:inline distT="0" distB="0" distL="0" distR="0" wp14:anchorId="6FB30F2A" wp14:editId="74EEB790">
          <wp:extent cx="1671055" cy="1463040"/>
          <wp:effectExtent l="0" t="0" r="5715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1540" cy="14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7F5F5" w14:textId="6184AFEC" w:rsidR="00195C0D" w:rsidRDefault="00195C0D">
    <w:pPr>
      <w:pStyle w:val="Header"/>
    </w:pPr>
    <w:r>
      <w:t xml:space="preserve">  </w:t>
    </w:r>
  </w:p>
  <w:p w14:paraId="459782E7" w14:textId="6085BF64" w:rsidR="00195C0D" w:rsidRDefault="00195C0D">
    <w:pPr>
      <w:pStyle w:val="Header"/>
    </w:pPr>
  </w:p>
  <w:p w14:paraId="060C599D" w14:textId="22D6A04C" w:rsidR="00195C0D" w:rsidRDefault="00195C0D">
    <w:pPr>
      <w:pStyle w:val="Header"/>
    </w:pPr>
  </w:p>
  <w:p w14:paraId="1ED0494C" w14:textId="3798993D" w:rsidR="00195C0D" w:rsidRDefault="00195C0D">
    <w:pPr>
      <w:pStyle w:val="Header"/>
    </w:pPr>
  </w:p>
  <w:p w14:paraId="743B8E93" w14:textId="77777777" w:rsidR="00195C0D" w:rsidRDefault="0019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CA95E25"/>
    <w:multiLevelType w:val="multilevel"/>
    <w:tmpl w:val="1284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1"/>
  </w:num>
  <w:num w:numId="15">
    <w:abstractNumId w:val="8"/>
  </w:num>
  <w:num w:numId="16">
    <w:abstractNumId w:val="20"/>
  </w:num>
  <w:num w:numId="17">
    <w:abstractNumId w:val="17"/>
  </w:num>
  <w:num w:numId="18">
    <w:abstractNumId w:val="23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7C0MDMxNDK3MLJQ0lEKTi0uzszPAymwqAUAWhPbLiwAAAA="/>
  </w:docVars>
  <w:rsids>
    <w:rsidRoot w:val="00DB03FE"/>
    <w:rsid w:val="0000090C"/>
    <w:rsid w:val="00006ACB"/>
    <w:rsid w:val="00006E4C"/>
    <w:rsid w:val="00021309"/>
    <w:rsid w:val="00022518"/>
    <w:rsid w:val="0002480D"/>
    <w:rsid w:val="00027DE8"/>
    <w:rsid w:val="00032D2F"/>
    <w:rsid w:val="000412DF"/>
    <w:rsid w:val="00045AFF"/>
    <w:rsid w:val="00047A11"/>
    <w:rsid w:val="0005295A"/>
    <w:rsid w:val="00057C93"/>
    <w:rsid w:val="00070BC4"/>
    <w:rsid w:val="000710D0"/>
    <w:rsid w:val="00071282"/>
    <w:rsid w:val="00072DD2"/>
    <w:rsid w:val="0007414B"/>
    <w:rsid w:val="00080D2B"/>
    <w:rsid w:val="00083BF7"/>
    <w:rsid w:val="0009745F"/>
    <w:rsid w:val="000A2E33"/>
    <w:rsid w:val="000A3370"/>
    <w:rsid w:val="000A4E01"/>
    <w:rsid w:val="000A7162"/>
    <w:rsid w:val="000C1D1C"/>
    <w:rsid w:val="000C6EC1"/>
    <w:rsid w:val="000D6358"/>
    <w:rsid w:val="000D798B"/>
    <w:rsid w:val="000E3B02"/>
    <w:rsid w:val="000E5ED8"/>
    <w:rsid w:val="000F4480"/>
    <w:rsid w:val="000F69FB"/>
    <w:rsid w:val="00102C56"/>
    <w:rsid w:val="00104837"/>
    <w:rsid w:val="001061BC"/>
    <w:rsid w:val="001211A7"/>
    <w:rsid w:val="00123DBB"/>
    <w:rsid w:val="0014255A"/>
    <w:rsid w:val="001546AB"/>
    <w:rsid w:val="0015764B"/>
    <w:rsid w:val="00161D97"/>
    <w:rsid w:val="00167476"/>
    <w:rsid w:val="00170631"/>
    <w:rsid w:val="00172989"/>
    <w:rsid w:val="001746AC"/>
    <w:rsid w:val="001750D3"/>
    <w:rsid w:val="00176E0D"/>
    <w:rsid w:val="00177FA2"/>
    <w:rsid w:val="00182B2A"/>
    <w:rsid w:val="001913C0"/>
    <w:rsid w:val="00195C0D"/>
    <w:rsid w:val="00196A53"/>
    <w:rsid w:val="00196B7F"/>
    <w:rsid w:val="001A0E7D"/>
    <w:rsid w:val="001A5D4C"/>
    <w:rsid w:val="001A7C69"/>
    <w:rsid w:val="001B2C7C"/>
    <w:rsid w:val="001B2E52"/>
    <w:rsid w:val="001B5F18"/>
    <w:rsid w:val="001C25A0"/>
    <w:rsid w:val="001D08FF"/>
    <w:rsid w:val="001D12A2"/>
    <w:rsid w:val="001E16A2"/>
    <w:rsid w:val="001E5A0B"/>
    <w:rsid w:val="001F3ED6"/>
    <w:rsid w:val="0020305A"/>
    <w:rsid w:val="00211E98"/>
    <w:rsid w:val="00215577"/>
    <w:rsid w:val="002223EA"/>
    <w:rsid w:val="00222902"/>
    <w:rsid w:val="00224BEE"/>
    <w:rsid w:val="002401A8"/>
    <w:rsid w:val="00250AAE"/>
    <w:rsid w:val="00253CAA"/>
    <w:rsid w:val="00254713"/>
    <w:rsid w:val="002602A1"/>
    <w:rsid w:val="00264EDA"/>
    <w:rsid w:val="00265410"/>
    <w:rsid w:val="002745D7"/>
    <w:rsid w:val="00274732"/>
    <w:rsid w:val="0027740A"/>
    <w:rsid w:val="00281381"/>
    <w:rsid w:val="002906F5"/>
    <w:rsid w:val="00296D12"/>
    <w:rsid w:val="002A12EB"/>
    <w:rsid w:val="002A3A91"/>
    <w:rsid w:val="002B0429"/>
    <w:rsid w:val="002B4BCC"/>
    <w:rsid w:val="002B53F1"/>
    <w:rsid w:val="002B6AD9"/>
    <w:rsid w:val="002B736B"/>
    <w:rsid w:val="002C6D35"/>
    <w:rsid w:val="002C788C"/>
    <w:rsid w:val="002E094B"/>
    <w:rsid w:val="002E3AD9"/>
    <w:rsid w:val="003017EC"/>
    <w:rsid w:val="003048BC"/>
    <w:rsid w:val="00312013"/>
    <w:rsid w:val="003120AA"/>
    <w:rsid w:val="003156C8"/>
    <w:rsid w:val="00315A4B"/>
    <w:rsid w:val="00316C1F"/>
    <w:rsid w:val="00325E3A"/>
    <w:rsid w:val="00326A3F"/>
    <w:rsid w:val="00326BE6"/>
    <w:rsid w:val="00335CE2"/>
    <w:rsid w:val="00336CE6"/>
    <w:rsid w:val="00341EBC"/>
    <w:rsid w:val="00343A9B"/>
    <w:rsid w:val="0034672C"/>
    <w:rsid w:val="003500C8"/>
    <w:rsid w:val="003513ED"/>
    <w:rsid w:val="0035665F"/>
    <w:rsid w:val="00362D66"/>
    <w:rsid w:val="00397A2F"/>
    <w:rsid w:val="003A09F5"/>
    <w:rsid w:val="003A5C94"/>
    <w:rsid w:val="003A63CD"/>
    <w:rsid w:val="003A7483"/>
    <w:rsid w:val="003B65D6"/>
    <w:rsid w:val="003C4E74"/>
    <w:rsid w:val="003E3711"/>
    <w:rsid w:val="003E4F93"/>
    <w:rsid w:val="003E6933"/>
    <w:rsid w:val="003F6F4D"/>
    <w:rsid w:val="00400AD1"/>
    <w:rsid w:val="004041A7"/>
    <w:rsid w:val="00404C6A"/>
    <w:rsid w:val="00405A64"/>
    <w:rsid w:val="00415BA3"/>
    <w:rsid w:val="004220BC"/>
    <w:rsid w:val="004334ED"/>
    <w:rsid w:val="004337CF"/>
    <w:rsid w:val="00434AF1"/>
    <w:rsid w:val="00441053"/>
    <w:rsid w:val="00443EB0"/>
    <w:rsid w:val="00456364"/>
    <w:rsid w:val="00457733"/>
    <w:rsid w:val="004657D4"/>
    <w:rsid w:val="00472C85"/>
    <w:rsid w:val="00477ED1"/>
    <w:rsid w:val="0048323A"/>
    <w:rsid w:val="00486910"/>
    <w:rsid w:val="00490AD6"/>
    <w:rsid w:val="004931E0"/>
    <w:rsid w:val="00493D61"/>
    <w:rsid w:val="004A0D18"/>
    <w:rsid w:val="004A1280"/>
    <w:rsid w:val="004A2C3D"/>
    <w:rsid w:val="004A3126"/>
    <w:rsid w:val="004A31E4"/>
    <w:rsid w:val="004B3A7C"/>
    <w:rsid w:val="004B5D0B"/>
    <w:rsid w:val="004B6331"/>
    <w:rsid w:val="004B7E0E"/>
    <w:rsid w:val="004C12D1"/>
    <w:rsid w:val="004C5B4C"/>
    <w:rsid w:val="004E0634"/>
    <w:rsid w:val="004E6D9E"/>
    <w:rsid w:val="004E708D"/>
    <w:rsid w:val="004F63AD"/>
    <w:rsid w:val="005073CF"/>
    <w:rsid w:val="00516206"/>
    <w:rsid w:val="00523AD4"/>
    <w:rsid w:val="005308B1"/>
    <w:rsid w:val="00554B59"/>
    <w:rsid w:val="005624BB"/>
    <w:rsid w:val="005714B6"/>
    <w:rsid w:val="00573C29"/>
    <w:rsid w:val="0059105D"/>
    <w:rsid w:val="00592C42"/>
    <w:rsid w:val="005974E0"/>
    <w:rsid w:val="005A2B4E"/>
    <w:rsid w:val="005B7ED6"/>
    <w:rsid w:val="005C2739"/>
    <w:rsid w:val="005C7463"/>
    <w:rsid w:val="005D1FEB"/>
    <w:rsid w:val="005D2D5A"/>
    <w:rsid w:val="005E766D"/>
    <w:rsid w:val="00615243"/>
    <w:rsid w:val="0062425D"/>
    <w:rsid w:val="00636257"/>
    <w:rsid w:val="006405FA"/>
    <w:rsid w:val="00646E93"/>
    <w:rsid w:val="00652B7B"/>
    <w:rsid w:val="00655779"/>
    <w:rsid w:val="00664F7D"/>
    <w:rsid w:val="00687221"/>
    <w:rsid w:val="00690E9E"/>
    <w:rsid w:val="0069102D"/>
    <w:rsid w:val="0069333A"/>
    <w:rsid w:val="00695072"/>
    <w:rsid w:val="00697975"/>
    <w:rsid w:val="006A4B7A"/>
    <w:rsid w:val="006A4BEF"/>
    <w:rsid w:val="006B2EB7"/>
    <w:rsid w:val="006B6A19"/>
    <w:rsid w:val="006B7676"/>
    <w:rsid w:val="006C31DF"/>
    <w:rsid w:val="006D17B0"/>
    <w:rsid w:val="006E1661"/>
    <w:rsid w:val="006E2F2A"/>
    <w:rsid w:val="00700979"/>
    <w:rsid w:val="00700E67"/>
    <w:rsid w:val="00702A06"/>
    <w:rsid w:val="00703AE2"/>
    <w:rsid w:val="00704204"/>
    <w:rsid w:val="0071094B"/>
    <w:rsid w:val="00723B4C"/>
    <w:rsid w:val="00727AD4"/>
    <w:rsid w:val="00730E4A"/>
    <w:rsid w:val="00741DC0"/>
    <w:rsid w:val="0074226A"/>
    <w:rsid w:val="007475D3"/>
    <w:rsid w:val="00751279"/>
    <w:rsid w:val="00751817"/>
    <w:rsid w:val="00751875"/>
    <w:rsid w:val="00773FB3"/>
    <w:rsid w:val="00774724"/>
    <w:rsid w:val="00780103"/>
    <w:rsid w:val="007848DB"/>
    <w:rsid w:val="007A0312"/>
    <w:rsid w:val="007A4CF5"/>
    <w:rsid w:val="007A6198"/>
    <w:rsid w:val="007A7EE6"/>
    <w:rsid w:val="007B04B3"/>
    <w:rsid w:val="007B2BCC"/>
    <w:rsid w:val="007B7974"/>
    <w:rsid w:val="007B7FA8"/>
    <w:rsid w:val="007C1D5B"/>
    <w:rsid w:val="007C4734"/>
    <w:rsid w:val="007D7786"/>
    <w:rsid w:val="007E09C4"/>
    <w:rsid w:val="007F76CF"/>
    <w:rsid w:val="008072C8"/>
    <w:rsid w:val="00810D18"/>
    <w:rsid w:val="008153CC"/>
    <w:rsid w:val="00815F2A"/>
    <w:rsid w:val="0081758B"/>
    <w:rsid w:val="0082035A"/>
    <w:rsid w:val="0082625A"/>
    <w:rsid w:val="00836D31"/>
    <w:rsid w:val="0086321A"/>
    <w:rsid w:val="00864784"/>
    <w:rsid w:val="00864FF8"/>
    <w:rsid w:val="008701BE"/>
    <w:rsid w:val="00873985"/>
    <w:rsid w:val="008816AC"/>
    <w:rsid w:val="0089264A"/>
    <w:rsid w:val="008932C7"/>
    <w:rsid w:val="0089480F"/>
    <w:rsid w:val="008A0C76"/>
    <w:rsid w:val="008A4D1B"/>
    <w:rsid w:val="008B002C"/>
    <w:rsid w:val="008B1752"/>
    <w:rsid w:val="008B1C63"/>
    <w:rsid w:val="008B292C"/>
    <w:rsid w:val="008C08A1"/>
    <w:rsid w:val="008E422E"/>
    <w:rsid w:val="008E423A"/>
    <w:rsid w:val="008E5934"/>
    <w:rsid w:val="008E6086"/>
    <w:rsid w:val="008E6922"/>
    <w:rsid w:val="008E6F6A"/>
    <w:rsid w:val="008F04CA"/>
    <w:rsid w:val="008F2D7A"/>
    <w:rsid w:val="008F477C"/>
    <w:rsid w:val="008F6E63"/>
    <w:rsid w:val="00900428"/>
    <w:rsid w:val="00931FA5"/>
    <w:rsid w:val="00935914"/>
    <w:rsid w:val="00935F9D"/>
    <w:rsid w:val="00950DAB"/>
    <w:rsid w:val="0096429D"/>
    <w:rsid w:val="009651D2"/>
    <w:rsid w:val="009661CD"/>
    <w:rsid w:val="00971E50"/>
    <w:rsid w:val="00981285"/>
    <w:rsid w:val="00984119"/>
    <w:rsid w:val="009854D5"/>
    <w:rsid w:val="009A02F7"/>
    <w:rsid w:val="009A3F1E"/>
    <w:rsid w:val="009A60A7"/>
    <w:rsid w:val="009A773D"/>
    <w:rsid w:val="009B083B"/>
    <w:rsid w:val="009B65BF"/>
    <w:rsid w:val="009B7A32"/>
    <w:rsid w:val="009C2AB5"/>
    <w:rsid w:val="009C2C47"/>
    <w:rsid w:val="009D70AD"/>
    <w:rsid w:val="009E1AB7"/>
    <w:rsid w:val="009E5342"/>
    <w:rsid w:val="009E5B61"/>
    <w:rsid w:val="00A01509"/>
    <w:rsid w:val="00A030AC"/>
    <w:rsid w:val="00A05CFF"/>
    <w:rsid w:val="00A078C5"/>
    <w:rsid w:val="00A16366"/>
    <w:rsid w:val="00A17AA6"/>
    <w:rsid w:val="00A24815"/>
    <w:rsid w:val="00A3070D"/>
    <w:rsid w:val="00A32A96"/>
    <w:rsid w:val="00A35222"/>
    <w:rsid w:val="00A37F40"/>
    <w:rsid w:val="00A50503"/>
    <w:rsid w:val="00A55550"/>
    <w:rsid w:val="00A66B25"/>
    <w:rsid w:val="00A73658"/>
    <w:rsid w:val="00A738F0"/>
    <w:rsid w:val="00A7418D"/>
    <w:rsid w:val="00A7588B"/>
    <w:rsid w:val="00A76482"/>
    <w:rsid w:val="00A86357"/>
    <w:rsid w:val="00A87F3C"/>
    <w:rsid w:val="00A9708F"/>
    <w:rsid w:val="00AB3317"/>
    <w:rsid w:val="00AB420C"/>
    <w:rsid w:val="00AB6213"/>
    <w:rsid w:val="00AC2F6F"/>
    <w:rsid w:val="00AC2F87"/>
    <w:rsid w:val="00AC6681"/>
    <w:rsid w:val="00AD6423"/>
    <w:rsid w:val="00AE1BC4"/>
    <w:rsid w:val="00AE6678"/>
    <w:rsid w:val="00AE6C59"/>
    <w:rsid w:val="00AE7150"/>
    <w:rsid w:val="00B01CD8"/>
    <w:rsid w:val="00B035C0"/>
    <w:rsid w:val="00B13F6E"/>
    <w:rsid w:val="00B2042D"/>
    <w:rsid w:val="00B26852"/>
    <w:rsid w:val="00B2760E"/>
    <w:rsid w:val="00B353D4"/>
    <w:rsid w:val="00B35A07"/>
    <w:rsid w:val="00B4574E"/>
    <w:rsid w:val="00B52EB8"/>
    <w:rsid w:val="00B55245"/>
    <w:rsid w:val="00B56314"/>
    <w:rsid w:val="00B57DEA"/>
    <w:rsid w:val="00B63C94"/>
    <w:rsid w:val="00B71BC5"/>
    <w:rsid w:val="00B73B07"/>
    <w:rsid w:val="00B8517B"/>
    <w:rsid w:val="00B86872"/>
    <w:rsid w:val="00B92397"/>
    <w:rsid w:val="00BA1700"/>
    <w:rsid w:val="00BA196A"/>
    <w:rsid w:val="00BB3279"/>
    <w:rsid w:val="00BB359E"/>
    <w:rsid w:val="00BC65D0"/>
    <w:rsid w:val="00BC6F0B"/>
    <w:rsid w:val="00BC776D"/>
    <w:rsid w:val="00BE42FD"/>
    <w:rsid w:val="00BE6F40"/>
    <w:rsid w:val="00BF2646"/>
    <w:rsid w:val="00BF3E6F"/>
    <w:rsid w:val="00BF722B"/>
    <w:rsid w:val="00C047A7"/>
    <w:rsid w:val="00C07469"/>
    <w:rsid w:val="00C26FC4"/>
    <w:rsid w:val="00C323B1"/>
    <w:rsid w:val="00C4114F"/>
    <w:rsid w:val="00C4374C"/>
    <w:rsid w:val="00C47987"/>
    <w:rsid w:val="00C500E5"/>
    <w:rsid w:val="00C51C82"/>
    <w:rsid w:val="00C614AF"/>
    <w:rsid w:val="00C63697"/>
    <w:rsid w:val="00C67451"/>
    <w:rsid w:val="00C80954"/>
    <w:rsid w:val="00C85477"/>
    <w:rsid w:val="00CA304C"/>
    <w:rsid w:val="00CA66B9"/>
    <w:rsid w:val="00CA77A3"/>
    <w:rsid w:val="00CB41A9"/>
    <w:rsid w:val="00CB56EB"/>
    <w:rsid w:val="00CB6207"/>
    <w:rsid w:val="00CB7F7B"/>
    <w:rsid w:val="00CC0229"/>
    <w:rsid w:val="00CC4122"/>
    <w:rsid w:val="00CD6D66"/>
    <w:rsid w:val="00CE391F"/>
    <w:rsid w:val="00CE6F83"/>
    <w:rsid w:val="00D0517C"/>
    <w:rsid w:val="00D1125F"/>
    <w:rsid w:val="00D127CB"/>
    <w:rsid w:val="00D20474"/>
    <w:rsid w:val="00D323CB"/>
    <w:rsid w:val="00D42CDC"/>
    <w:rsid w:val="00D46C34"/>
    <w:rsid w:val="00D46D9F"/>
    <w:rsid w:val="00D4736A"/>
    <w:rsid w:val="00D47A08"/>
    <w:rsid w:val="00D47FE1"/>
    <w:rsid w:val="00D54920"/>
    <w:rsid w:val="00D6239F"/>
    <w:rsid w:val="00D63B77"/>
    <w:rsid w:val="00D655E3"/>
    <w:rsid w:val="00D66B24"/>
    <w:rsid w:val="00D809AA"/>
    <w:rsid w:val="00D8454F"/>
    <w:rsid w:val="00D85400"/>
    <w:rsid w:val="00D86F63"/>
    <w:rsid w:val="00D96451"/>
    <w:rsid w:val="00DB03FE"/>
    <w:rsid w:val="00DB042D"/>
    <w:rsid w:val="00DB5F7D"/>
    <w:rsid w:val="00DC0BC6"/>
    <w:rsid w:val="00DD2AE2"/>
    <w:rsid w:val="00DD4E2B"/>
    <w:rsid w:val="00DF2E32"/>
    <w:rsid w:val="00DF3A54"/>
    <w:rsid w:val="00DF3FF3"/>
    <w:rsid w:val="00E0057A"/>
    <w:rsid w:val="00E00EEE"/>
    <w:rsid w:val="00E020C3"/>
    <w:rsid w:val="00E07493"/>
    <w:rsid w:val="00E261AB"/>
    <w:rsid w:val="00E2639F"/>
    <w:rsid w:val="00E27E58"/>
    <w:rsid w:val="00E36352"/>
    <w:rsid w:val="00E439BD"/>
    <w:rsid w:val="00E568C2"/>
    <w:rsid w:val="00E60D6C"/>
    <w:rsid w:val="00E70C1C"/>
    <w:rsid w:val="00E75937"/>
    <w:rsid w:val="00E75A24"/>
    <w:rsid w:val="00E75FCF"/>
    <w:rsid w:val="00E9003A"/>
    <w:rsid w:val="00E9308B"/>
    <w:rsid w:val="00E946AB"/>
    <w:rsid w:val="00E96221"/>
    <w:rsid w:val="00EA758F"/>
    <w:rsid w:val="00EB3A86"/>
    <w:rsid w:val="00EB426B"/>
    <w:rsid w:val="00EB44E1"/>
    <w:rsid w:val="00EB4F3D"/>
    <w:rsid w:val="00EB71E2"/>
    <w:rsid w:val="00EC08A7"/>
    <w:rsid w:val="00EC199D"/>
    <w:rsid w:val="00EC642C"/>
    <w:rsid w:val="00EC7EA2"/>
    <w:rsid w:val="00ED2F27"/>
    <w:rsid w:val="00ED466E"/>
    <w:rsid w:val="00EE0880"/>
    <w:rsid w:val="00EE4A72"/>
    <w:rsid w:val="00EE4CAE"/>
    <w:rsid w:val="00EF492F"/>
    <w:rsid w:val="00F016F6"/>
    <w:rsid w:val="00F02B29"/>
    <w:rsid w:val="00F07941"/>
    <w:rsid w:val="00F11F11"/>
    <w:rsid w:val="00F12473"/>
    <w:rsid w:val="00F13FCC"/>
    <w:rsid w:val="00F16F44"/>
    <w:rsid w:val="00F22015"/>
    <w:rsid w:val="00F26B75"/>
    <w:rsid w:val="00F30D59"/>
    <w:rsid w:val="00F32AEA"/>
    <w:rsid w:val="00F42E37"/>
    <w:rsid w:val="00F4486E"/>
    <w:rsid w:val="00F47D95"/>
    <w:rsid w:val="00F527C5"/>
    <w:rsid w:val="00F53819"/>
    <w:rsid w:val="00F704C8"/>
    <w:rsid w:val="00F71E3A"/>
    <w:rsid w:val="00F74C12"/>
    <w:rsid w:val="00F7500F"/>
    <w:rsid w:val="00F75C5D"/>
    <w:rsid w:val="00F95195"/>
    <w:rsid w:val="00FA42EB"/>
    <w:rsid w:val="00FB11B9"/>
    <w:rsid w:val="00FB15B8"/>
    <w:rsid w:val="00FB57B2"/>
    <w:rsid w:val="00FC2876"/>
    <w:rsid w:val="00FC5D46"/>
    <w:rsid w:val="00FD2E33"/>
    <w:rsid w:val="00FE13B8"/>
    <w:rsid w:val="00FE2B58"/>
    <w:rsid w:val="00FE5DE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68871"/>
  <w15:docId w15:val="{E808BDC5-119E-46ED-9125-AD1917A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FE"/>
  </w:style>
  <w:style w:type="paragraph" w:styleId="Heading1">
    <w:name w:val="heading 1"/>
    <w:basedOn w:val="Normal"/>
    <w:next w:val="Normal"/>
    <w:link w:val="Heading1Char"/>
    <w:uiPriority w:val="9"/>
    <w:qFormat/>
    <w:rsid w:val="00D8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9AA"/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F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7E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guide-to-supporting-schools-plan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atch-up-premium-coronavirus-covid-19/catch-up-premiu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C2DC-F1BD-4960-BEE3-D695FAB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Needham</dc:creator>
  <cp:lastModifiedBy>Ed Finch</cp:lastModifiedBy>
  <cp:revision>6</cp:revision>
  <dcterms:created xsi:type="dcterms:W3CDTF">2021-10-11T07:15:00Z</dcterms:created>
  <dcterms:modified xsi:type="dcterms:W3CDTF">2021-10-12T09:47:00Z</dcterms:modified>
</cp:coreProperties>
</file>